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97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2"/>
        <w:gridCol w:w="3730"/>
      </w:tblGrid>
      <w:tr w:rsidR="00D11560" w14:paraId="7F942B29" w14:textId="77777777" w:rsidTr="00FD37C9">
        <w:trPr>
          <w:trHeight w:val="2997"/>
        </w:trPr>
        <w:tc>
          <w:tcPr>
            <w:tcW w:w="5992" w:type="dxa"/>
          </w:tcPr>
          <w:p w14:paraId="0D940679" w14:textId="7FB9D805" w:rsidR="005E30F5" w:rsidRDefault="00E56518" w:rsidP="00E56518">
            <w:pPr>
              <w:jc w:val="center"/>
              <w:rPr>
                <w:b/>
                <w:color w:val="2E74B5" w:themeColor="accent1" w:themeShade="BF"/>
              </w:rPr>
            </w:pPr>
            <w:r>
              <w:rPr>
                <w:b/>
                <w:noProof/>
                <w:color w:val="2E74B5" w:themeColor="accent1" w:themeShade="BF"/>
              </w:rPr>
              <w:drawing>
                <wp:inline distT="0" distB="0" distL="0" distR="0" wp14:anchorId="37715E90" wp14:editId="4868C3FA">
                  <wp:extent cx="3175000" cy="3175000"/>
                  <wp:effectExtent l="0" t="0" r="0" b="0"/>
                  <wp:docPr id="1296576456" name="Immagine 1" descr="Immagine che contiene testo, biglietto da visita, Elementi grafici,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576456" name="Immagine 1" descr="Immagine che contiene testo, biglietto da visita, Elementi grafici, Carattere&#10;&#10;Il contenuto generato dall'IA potrebbe non essere corretto."/>
                          <pic:cNvPicPr/>
                        </pic:nvPicPr>
                        <pic:blipFill>
                          <a:blip r:embed="rId7">
                            <a:extLst>
                              <a:ext uri="{28A0092B-C50C-407E-A947-70E740481C1C}">
                                <a14:useLocalDpi xmlns:a14="http://schemas.microsoft.com/office/drawing/2010/main" val="0"/>
                              </a:ext>
                            </a:extLst>
                          </a:blip>
                          <a:stretch>
                            <a:fillRect/>
                          </a:stretch>
                        </pic:blipFill>
                        <pic:spPr>
                          <a:xfrm>
                            <a:off x="0" y="0"/>
                            <a:ext cx="3175000" cy="3175000"/>
                          </a:xfrm>
                          <a:prstGeom prst="rect">
                            <a:avLst/>
                          </a:prstGeom>
                        </pic:spPr>
                      </pic:pic>
                    </a:graphicData>
                  </a:graphic>
                </wp:inline>
              </w:drawing>
            </w:r>
          </w:p>
          <w:p w14:paraId="78194284" w14:textId="6E1CBC6E" w:rsidR="00D11560" w:rsidRDefault="00E56518" w:rsidP="00E56518">
            <w:r>
              <w:rPr>
                <w:b/>
                <w:color w:val="2E74B5" w:themeColor="accent1" w:themeShade="BF"/>
              </w:rPr>
              <w:t xml:space="preserve">INNOCREA </w:t>
            </w:r>
            <w:proofErr w:type="spellStart"/>
            <w:r>
              <w:rPr>
                <w:b/>
                <w:color w:val="2E74B5" w:themeColor="accent1" w:themeShade="BF"/>
              </w:rPr>
              <w:t>member</w:t>
            </w:r>
            <w:proofErr w:type="spellEnd"/>
          </w:p>
        </w:tc>
        <w:tc>
          <w:tcPr>
            <w:tcW w:w="3730" w:type="dxa"/>
          </w:tcPr>
          <w:p w14:paraId="7C19A9CD" w14:textId="77777777" w:rsidR="00D11560" w:rsidRPr="00D11560" w:rsidRDefault="006F41C7" w:rsidP="00D11560">
            <w:pPr>
              <w:jc w:val="center"/>
              <w:rPr>
                <w:noProof/>
                <w:lang w:eastAsia="it-IT"/>
              </w:rPr>
            </w:pPr>
            <w:r w:rsidRPr="006A105E">
              <w:rPr>
                <w:b/>
                <w:noProof/>
                <w:color w:val="000000"/>
                <w:u w:val="single"/>
                <w:lang w:eastAsia="it-IT"/>
              </w:rPr>
              <w:drawing>
                <wp:inline distT="0" distB="0" distL="0" distR="0" wp14:anchorId="3B351FB6" wp14:editId="4B545707">
                  <wp:extent cx="2018581" cy="2047240"/>
                  <wp:effectExtent l="0" t="0" r="1270" b="0"/>
                  <wp:docPr id="2" name="Immagine 2" descr="Immagine figus rec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figus rec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3131" cy="2061997"/>
                          </a:xfrm>
                          <a:prstGeom prst="rect">
                            <a:avLst/>
                          </a:prstGeom>
                          <a:noFill/>
                          <a:ln>
                            <a:noFill/>
                          </a:ln>
                        </pic:spPr>
                      </pic:pic>
                    </a:graphicData>
                  </a:graphic>
                </wp:inline>
              </w:drawing>
            </w:r>
          </w:p>
        </w:tc>
      </w:tr>
    </w:tbl>
    <w:p w14:paraId="7248B050" w14:textId="77777777" w:rsidR="006A5B91" w:rsidRPr="005E30F5" w:rsidRDefault="006A5B91" w:rsidP="005E30F5">
      <w:pPr>
        <w:rPr>
          <w:b/>
          <w:color w:val="2E74B5" w:themeColor="accent1" w:themeShade="BF"/>
          <w:sz w:val="8"/>
          <w:szCs w:val="8"/>
        </w:rPr>
      </w:pPr>
    </w:p>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520"/>
      </w:tblGrid>
      <w:tr w:rsidR="006A5B91" w:rsidRPr="00344AA9" w14:paraId="3EFE2C52" w14:textId="77777777" w:rsidTr="005E30F5">
        <w:tc>
          <w:tcPr>
            <w:tcW w:w="3261" w:type="dxa"/>
            <w:tcBorders>
              <w:right w:val="single" w:sz="4" w:space="0" w:color="auto"/>
            </w:tcBorders>
          </w:tcPr>
          <w:p w14:paraId="69A0E6F8" w14:textId="77777777" w:rsidR="006A5B91" w:rsidRPr="00344AA9" w:rsidRDefault="00344AA9" w:rsidP="00A812E4">
            <w:pPr>
              <w:rPr>
                <w:color w:val="2E74B5" w:themeColor="accent1" w:themeShade="BF"/>
                <w:lang w:val="en-GB"/>
              </w:rPr>
            </w:pPr>
            <w:r w:rsidRPr="00344AA9">
              <w:rPr>
                <w:color w:val="2E74B5" w:themeColor="accent1" w:themeShade="BF"/>
                <w:lang w:val="en-GB"/>
              </w:rPr>
              <w:t>Family</w:t>
            </w:r>
            <w:r w:rsidR="006A5B91" w:rsidRPr="00344AA9">
              <w:rPr>
                <w:color w:val="2E74B5" w:themeColor="accent1" w:themeShade="BF"/>
                <w:lang w:val="en-GB"/>
              </w:rPr>
              <w:t xml:space="preserve"> Name</w:t>
            </w:r>
          </w:p>
        </w:tc>
        <w:tc>
          <w:tcPr>
            <w:tcW w:w="6520" w:type="dxa"/>
            <w:tcBorders>
              <w:top w:val="single" w:sz="4" w:space="0" w:color="auto"/>
              <w:left w:val="single" w:sz="4" w:space="0" w:color="auto"/>
              <w:bottom w:val="single" w:sz="4" w:space="0" w:color="auto"/>
              <w:right w:val="single" w:sz="4" w:space="0" w:color="auto"/>
            </w:tcBorders>
          </w:tcPr>
          <w:p w14:paraId="5CC9A650" w14:textId="77777777" w:rsidR="006A5B91" w:rsidRPr="00344AA9" w:rsidRDefault="006F41C7" w:rsidP="00A812E4">
            <w:pPr>
              <w:rPr>
                <w:b/>
                <w:color w:val="2E74B5" w:themeColor="accent1" w:themeShade="BF"/>
                <w:lang w:val="en-GB"/>
              </w:rPr>
            </w:pPr>
            <w:r>
              <w:rPr>
                <w:b/>
                <w:color w:val="2E74B5" w:themeColor="accent1" w:themeShade="BF"/>
                <w:lang w:val="en-GB"/>
              </w:rPr>
              <w:t>FIGUS</w:t>
            </w:r>
          </w:p>
        </w:tc>
      </w:tr>
      <w:tr w:rsidR="006A5B91" w:rsidRPr="00344AA9" w14:paraId="22E07030" w14:textId="77777777" w:rsidTr="005E30F5">
        <w:tc>
          <w:tcPr>
            <w:tcW w:w="3261" w:type="dxa"/>
            <w:tcBorders>
              <w:right w:val="single" w:sz="4" w:space="0" w:color="auto"/>
            </w:tcBorders>
          </w:tcPr>
          <w:p w14:paraId="37F716CA" w14:textId="77777777" w:rsidR="006A5B91" w:rsidRPr="00344AA9" w:rsidRDefault="006A5B91" w:rsidP="00A812E4">
            <w:pPr>
              <w:rPr>
                <w:color w:val="2E74B5" w:themeColor="accent1" w:themeShade="BF"/>
                <w:lang w:val="en-GB"/>
              </w:rPr>
            </w:pPr>
            <w:r w:rsidRPr="00344AA9">
              <w:rPr>
                <w:color w:val="2E74B5" w:themeColor="accent1" w:themeShade="BF"/>
                <w:lang w:val="en-GB"/>
              </w:rPr>
              <w:t>Name</w:t>
            </w:r>
          </w:p>
        </w:tc>
        <w:tc>
          <w:tcPr>
            <w:tcW w:w="6520" w:type="dxa"/>
            <w:tcBorders>
              <w:top w:val="single" w:sz="4" w:space="0" w:color="auto"/>
              <w:left w:val="single" w:sz="4" w:space="0" w:color="auto"/>
              <w:bottom w:val="single" w:sz="4" w:space="0" w:color="auto"/>
              <w:right w:val="single" w:sz="4" w:space="0" w:color="auto"/>
            </w:tcBorders>
          </w:tcPr>
          <w:p w14:paraId="1D32046C" w14:textId="77777777" w:rsidR="006A5B91" w:rsidRPr="00344AA9" w:rsidRDefault="006F41C7" w:rsidP="00A812E4">
            <w:pPr>
              <w:rPr>
                <w:b/>
                <w:color w:val="2E74B5" w:themeColor="accent1" w:themeShade="BF"/>
                <w:lang w:val="en-GB"/>
              </w:rPr>
            </w:pPr>
            <w:r>
              <w:rPr>
                <w:b/>
                <w:color w:val="2E74B5" w:themeColor="accent1" w:themeShade="BF"/>
                <w:lang w:val="en-GB"/>
              </w:rPr>
              <w:t>Alessandro</w:t>
            </w:r>
          </w:p>
        </w:tc>
      </w:tr>
      <w:tr w:rsidR="006A5B91" w:rsidRPr="005E30F5" w14:paraId="29A9A219" w14:textId="77777777" w:rsidTr="005E30F5">
        <w:tc>
          <w:tcPr>
            <w:tcW w:w="3261" w:type="dxa"/>
            <w:tcBorders>
              <w:right w:val="single" w:sz="4" w:space="0" w:color="auto"/>
            </w:tcBorders>
          </w:tcPr>
          <w:p w14:paraId="173CA9D2" w14:textId="77777777" w:rsidR="006A5B91" w:rsidRPr="00344AA9" w:rsidRDefault="00344AA9" w:rsidP="00A812E4">
            <w:pPr>
              <w:rPr>
                <w:color w:val="2E74B5" w:themeColor="accent1" w:themeShade="BF"/>
                <w:lang w:val="en-GB"/>
              </w:rPr>
            </w:pPr>
            <w:r w:rsidRPr="00344AA9">
              <w:rPr>
                <w:color w:val="2E74B5" w:themeColor="accent1" w:themeShade="BF"/>
                <w:lang w:val="en-GB"/>
              </w:rPr>
              <w:t>Institution</w:t>
            </w:r>
          </w:p>
        </w:tc>
        <w:tc>
          <w:tcPr>
            <w:tcW w:w="6520" w:type="dxa"/>
            <w:tcBorders>
              <w:top w:val="single" w:sz="4" w:space="0" w:color="auto"/>
              <w:left w:val="single" w:sz="4" w:space="0" w:color="auto"/>
              <w:bottom w:val="single" w:sz="4" w:space="0" w:color="auto"/>
              <w:right w:val="single" w:sz="4" w:space="0" w:color="auto"/>
            </w:tcBorders>
          </w:tcPr>
          <w:p w14:paraId="0D4BA29A" w14:textId="77BD5CCD" w:rsidR="006A5B91" w:rsidRPr="00344AA9" w:rsidRDefault="00E56518" w:rsidP="00A812E4">
            <w:pPr>
              <w:rPr>
                <w:b/>
                <w:color w:val="2E74B5" w:themeColor="accent1" w:themeShade="BF"/>
                <w:lang w:val="en-GB"/>
              </w:rPr>
            </w:pPr>
            <w:r>
              <w:rPr>
                <w:b/>
                <w:color w:val="2E74B5" w:themeColor="accent1" w:themeShade="BF"/>
                <w:lang w:val="en-GB"/>
              </w:rPr>
              <w:t>CREATECH ACADEMY</w:t>
            </w:r>
          </w:p>
        </w:tc>
      </w:tr>
      <w:tr w:rsidR="006A5B91" w:rsidRPr="00344AA9" w14:paraId="664C9488" w14:textId="77777777" w:rsidTr="005E30F5">
        <w:tc>
          <w:tcPr>
            <w:tcW w:w="3261" w:type="dxa"/>
            <w:tcBorders>
              <w:right w:val="single" w:sz="4" w:space="0" w:color="auto"/>
            </w:tcBorders>
          </w:tcPr>
          <w:p w14:paraId="6BBC5CBD" w14:textId="77777777" w:rsidR="006A5B91" w:rsidRPr="00344AA9" w:rsidRDefault="006A5B91" w:rsidP="00A812E4">
            <w:pPr>
              <w:rPr>
                <w:color w:val="2E74B5" w:themeColor="accent1" w:themeShade="BF"/>
                <w:lang w:val="en-GB"/>
              </w:rPr>
            </w:pPr>
            <w:r w:rsidRPr="00344AA9">
              <w:rPr>
                <w:color w:val="2E74B5" w:themeColor="accent1" w:themeShade="BF"/>
                <w:lang w:val="en-GB"/>
              </w:rPr>
              <w:t>Position</w:t>
            </w:r>
          </w:p>
        </w:tc>
        <w:tc>
          <w:tcPr>
            <w:tcW w:w="6520" w:type="dxa"/>
            <w:tcBorders>
              <w:top w:val="single" w:sz="4" w:space="0" w:color="auto"/>
              <w:left w:val="single" w:sz="4" w:space="0" w:color="auto"/>
              <w:bottom w:val="single" w:sz="4" w:space="0" w:color="auto"/>
              <w:right w:val="single" w:sz="4" w:space="0" w:color="auto"/>
            </w:tcBorders>
          </w:tcPr>
          <w:p w14:paraId="343EBFB0" w14:textId="303B672D" w:rsidR="006A5B91" w:rsidRPr="00344AA9" w:rsidRDefault="00E56518" w:rsidP="00A812E4">
            <w:pPr>
              <w:rPr>
                <w:b/>
                <w:color w:val="2E74B5" w:themeColor="accent1" w:themeShade="BF"/>
                <w:lang w:val="en-GB"/>
              </w:rPr>
            </w:pPr>
            <w:r>
              <w:rPr>
                <w:b/>
                <w:color w:val="2E74B5" w:themeColor="accent1" w:themeShade="BF"/>
                <w:lang w:val="en-GB"/>
              </w:rPr>
              <w:t xml:space="preserve">Director </w:t>
            </w:r>
            <w:proofErr w:type="spellStart"/>
            <w:r>
              <w:rPr>
                <w:b/>
                <w:color w:val="2E74B5" w:themeColor="accent1" w:themeShade="BF"/>
                <w:lang w:val="en-GB"/>
              </w:rPr>
              <w:t>Intrenational</w:t>
            </w:r>
            <w:proofErr w:type="spellEnd"/>
            <w:r>
              <w:rPr>
                <w:b/>
                <w:color w:val="2E74B5" w:themeColor="accent1" w:themeShade="BF"/>
                <w:lang w:val="en-GB"/>
              </w:rPr>
              <w:t xml:space="preserve"> Department</w:t>
            </w:r>
          </w:p>
        </w:tc>
      </w:tr>
      <w:tr w:rsidR="006A5B91" w:rsidRPr="00344AA9" w14:paraId="51624D2F" w14:textId="77777777" w:rsidTr="005E30F5">
        <w:tc>
          <w:tcPr>
            <w:tcW w:w="3261" w:type="dxa"/>
            <w:tcBorders>
              <w:right w:val="single" w:sz="4" w:space="0" w:color="auto"/>
            </w:tcBorders>
          </w:tcPr>
          <w:p w14:paraId="22EB1E31" w14:textId="77777777" w:rsidR="006A5B91" w:rsidRPr="00344AA9" w:rsidRDefault="006A5B91" w:rsidP="00A812E4">
            <w:pPr>
              <w:rPr>
                <w:color w:val="2E74B5" w:themeColor="accent1" w:themeShade="BF"/>
                <w:lang w:val="en-GB"/>
              </w:rPr>
            </w:pPr>
            <w:r w:rsidRPr="00344AA9">
              <w:rPr>
                <w:color w:val="2E74B5" w:themeColor="accent1" w:themeShade="BF"/>
                <w:lang w:val="en-GB"/>
              </w:rPr>
              <w:t>Mother Language</w:t>
            </w:r>
          </w:p>
        </w:tc>
        <w:tc>
          <w:tcPr>
            <w:tcW w:w="6520" w:type="dxa"/>
            <w:tcBorders>
              <w:top w:val="single" w:sz="4" w:space="0" w:color="auto"/>
              <w:left w:val="single" w:sz="4" w:space="0" w:color="auto"/>
              <w:bottom w:val="single" w:sz="4" w:space="0" w:color="auto"/>
              <w:right w:val="single" w:sz="4" w:space="0" w:color="auto"/>
            </w:tcBorders>
          </w:tcPr>
          <w:p w14:paraId="30F21026" w14:textId="77777777" w:rsidR="006A5B91" w:rsidRPr="00344AA9" w:rsidRDefault="006F41C7" w:rsidP="00A812E4">
            <w:pPr>
              <w:rPr>
                <w:b/>
                <w:color w:val="2E74B5" w:themeColor="accent1" w:themeShade="BF"/>
                <w:lang w:val="en-GB"/>
              </w:rPr>
            </w:pPr>
            <w:r>
              <w:rPr>
                <w:b/>
                <w:color w:val="2E74B5" w:themeColor="accent1" w:themeShade="BF"/>
                <w:lang w:val="en-GB"/>
              </w:rPr>
              <w:t>Italian</w:t>
            </w:r>
          </w:p>
        </w:tc>
      </w:tr>
      <w:tr w:rsidR="006A5B91" w:rsidRPr="006F41C7" w14:paraId="0D2876B1" w14:textId="77777777" w:rsidTr="005E30F5">
        <w:tc>
          <w:tcPr>
            <w:tcW w:w="3261" w:type="dxa"/>
            <w:tcBorders>
              <w:right w:val="single" w:sz="4" w:space="0" w:color="auto"/>
            </w:tcBorders>
          </w:tcPr>
          <w:p w14:paraId="4337D393" w14:textId="77777777" w:rsidR="006A5B91" w:rsidRPr="00344AA9" w:rsidRDefault="00BA5E82" w:rsidP="00A812E4">
            <w:pPr>
              <w:rPr>
                <w:color w:val="2E74B5" w:themeColor="accent1" w:themeShade="BF"/>
                <w:lang w:val="en-GB"/>
              </w:rPr>
            </w:pPr>
            <w:r w:rsidRPr="00344AA9">
              <w:rPr>
                <w:color w:val="2E74B5" w:themeColor="accent1" w:themeShade="BF"/>
                <w:lang w:val="en-GB"/>
              </w:rPr>
              <w:t xml:space="preserve">English        </w:t>
            </w:r>
            <w:r w:rsidR="006A5B91" w:rsidRPr="00344AA9">
              <w:rPr>
                <w:color w:val="2E74B5" w:themeColor="accent1" w:themeShade="BF"/>
                <w:lang w:val="en-GB"/>
              </w:rPr>
              <w:t xml:space="preserve"> </w:t>
            </w:r>
            <w:r w:rsidR="006A5B91" w:rsidRPr="00344AA9">
              <w:rPr>
                <w:color w:val="2E74B5" w:themeColor="accent1" w:themeShade="BF"/>
                <w:sz w:val="20"/>
                <w:szCs w:val="20"/>
                <w:lang w:val="en-GB"/>
              </w:rPr>
              <w:t>(A1, A2, B1, B2, C1, C2)</w:t>
            </w:r>
          </w:p>
        </w:tc>
        <w:tc>
          <w:tcPr>
            <w:tcW w:w="6520" w:type="dxa"/>
            <w:tcBorders>
              <w:top w:val="single" w:sz="4" w:space="0" w:color="auto"/>
              <w:left w:val="single" w:sz="4" w:space="0" w:color="auto"/>
              <w:bottom w:val="single" w:sz="4" w:space="0" w:color="auto"/>
              <w:right w:val="single" w:sz="4" w:space="0" w:color="auto"/>
            </w:tcBorders>
          </w:tcPr>
          <w:p w14:paraId="4FBC7D87" w14:textId="77777777" w:rsidR="006A5B91" w:rsidRPr="00344AA9" w:rsidRDefault="006F41C7" w:rsidP="00A812E4">
            <w:pPr>
              <w:rPr>
                <w:b/>
                <w:color w:val="2E74B5" w:themeColor="accent1" w:themeShade="BF"/>
                <w:lang w:val="en-GB"/>
              </w:rPr>
            </w:pPr>
            <w:r>
              <w:rPr>
                <w:b/>
                <w:color w:val="2E74B5" w:themeColor="accent1" w:themeShade="BF"/>
                <w:lang w:val="en-GB"/>
              </w:rPr>
              <w:t>C1</w:t>
            </w:r>
          </w:p>
        </w:tc>
      </w:tr>
    </w:tbl>
    <w:p w14:paraId="645E2530" w14:textId="77777777" w:rsidR="005E30F5" w:rsidRPr="005E30F5" w:rsidRDefault="005E30F5" w:rsidP="005E30F5">
      <w:pPr>
        <w:spacing w:after="0" w:line="240" w:lineRule="auto"/>
        <w:jc w:val="center"/>
        <w:rPr>
          <w:b/>
          <w:color w:val="2E74B5" w:themeColor="accent1" w:themeShade="BF"/>
          <w:sz w:val="16"/>
          <w:szCs w:val="16"/>
          <w:u w:val="single"/>
          <w:lang w:val="en-GB"/>
        </w:rPr>
      </w:pPr>
    </w:p>
    <w:p w14:paraId="0AC587D2" w14:textId="77777777" w:rsidR="006A5B91" w:rsidRPr="00344AA9" w:rsidRDefault="006A5B91" w:rsidP="005E30F5">
      <w:pPr>
        <w:jc w:val="center"/>
        <w:rPr>
          <w:b/>
          <w:color w:val="2E74B5" w:themeColor="accent1" w:themeShade="BF"/>
          <w:lang w:val="en-GB"/>
        </w:rPr>
      </w:pPr>
      <w:r w:rsidRPr="005E30F5">
        <w:rPr>
          <w:b/>
          <w:color w:val="2E74B5" w:themeColor="accent1" w:themeShade="BF"/>
          <w:u w:val="single"/>
          <w:lang w:val="en-GB"/>
        </w:rPr>
        <w:t>EDUCAT</w:t>
      </w:r>
      <w:r w:rsidRPr="00344AA9">
        <w:rPr>
          <w:b/>
          <w:color w:val="2E74B5" w:themeColor="accent1" w:themeShade="BF"/>
          <w:lang w:val="en-GB"/>
        </w:rPr>
        <w:t xml:space="preserve">ION </w:t>
      </w:r>
      <w:r w:rsidR="00344AA9" w:rsidRPr="00344AA9">
        <w:rPr>
          <w:b/>
          <w:color w:val="2E74B5" w:themeColor="accent1" w:themeShade="BF"/>
          <w:lang w:val="en-GB"/>
        </w:rPr>
        <w:t>–</w:t>
      </w:r>
      <w:r w:rsidRPr="00344AA9">
        <w:rPr>
          <w:b/>
          <w:color w:val="2E74B5" w:themeColor="accent1" w:themeShade="BF"/>
          <w:lang w:val="en-GB"/>
        </w:rPr>
        <w:t xml:space="preserve"> </w:t>
      </w:r>
      <w:r w:rsidR="00344AA9" w:rsidRPr="00344AA9">
        <w:rPr>
          <w:b/>
          <w:color w:val="2E74B5" w:themeColor="accent1" w:themeShade="BF"/>
          <w:lang w:val="en-GB"/>
        </w:rPr>
        <w:t>WORK EXPERIENCE</w:t>
      </w:r>
    </w:p>
    <w:tbl>
      <w:tblPr>
        <w:tblStyle w:val="Grigliatabella"/>
        <w:tblW w:w="10915" w:type="dxa"/>
        <w:tblInd w:w="-147" w:type="dxa"/>
        <w:tblLook w:val="04A0" w:firstRow="1" w:lastRow="0" w:firstColumn="1" w:lastColumn="0" w:noHBand="0" w:noVBand="1"/>
      </w:tblPr>
      <w:tblGrid>
        <w:gridCol w:w="10915"/>
      </w:tblGrid>
      <w:tr w:rsidR="006A5B91" w:rsidRPr="005E30F5" w14:paraId="09F83EC9" w14:textId="77777777" w:rsidTr="005E30F5">
        <w:tc>
          <w:tcPr>
            <w:tcW w:w="10915" w:type="dxa"/>
          </w:tcPr>
          <w:p w14:paraId="5D9A4409" w14:textId="22E5672D" w:rsidR="00E56518" w:rsidRPr="00E56518" w:rsidRDefault="00344AA9" w:rsidP="00E56518">
            <w:pPr>
              <w:spacing w:line="256" w:lineRule="auto"/>
              <w:jc w:val="both"/>
              <w:rPr>
                <w:lang w:val="en-US"/>
              </w:rPr>
            </w:pPr>
            <w:r w:rsidRPr="00E56518">
              <w:rPr>
                <w:u w:val="single"/>
                <w:lang w:val="en-GB"/>
              </w:rPr>
              <w:t>Graduate</w:t>
            </w:r>
            <w:r w:rsidRPr="00E56518">
              <w:rPr>
                <w:lang w:val="en-GB"/>
              </w:rPr>
              <w:t>:</w:t>
            </w:r>
            <w:r w:rsidR="006F41C7" w:rsidRPr="00E56518">
              <w:rPr>
                <w:lang w:val="en-GB"/>
              </w:rPr>
              <w:t xml:space="preserve"> Political Sciences at University of Genova, </w:t>
            </w:r>
            <w:proofErr w:type="gramStart"/>
            <w:r w:rsidR="006F41C7" w:rsidRPr="00E56518">
              <w:rPr>
                <w:lang w:val="en-GB"/>
              </w:rPr>
              <w:t>Italy</w:t>
            </w:r>
            <w:r w:rsidR="005E30F5" w:rsidRPr="00E56518">
              <w:rPr>
                <w:u w:val="single"/>
                <w:lang w:val="en-GB"/>
              </w:rPr>
              <w:t xml:space="preserve">  </w:t>
            </w:r>
            <w:r w:rsidRPr="00E56518">
              <w:rPr>
                <w:u w:val="single"/>
                <w:lang w:val="en-GB"/>
              </w:rPr>
              <w:t>Post</w:t>
            </w:r>
            <w:proofErr w:type="gramEnd"/>
            <w:r w:rsidRPr="00E56518">
              <w:rPr>
                <w:u w:val="single"/>
                <w:lang w:val="en-GB"/>
              </w:rPr>
              <w:t xml:space="preserve"> graduate:</w:t>
            </w:r>
            <w:r w:rsidR="006F41C7" w:rsidRPr="00E56518">
              <w:rPr>
                <w:u w:val="single"/>
                <w:lang w:val="en-GB"/>
              </w:rPr>
              <w:t xml:space="preserve"> </w:t>
            </w:r>
            <w:r w:rsidR="006F41C7" w:rsidRPr="00E56518">
              <w:rPr>
                <w:lang w:val="en-GB"/>
              </w:rPr>
              <w:t>Political Sciences, at University of Nice, Sophia Antipolis, France</w:t>
            </w:r>
            <w:r w:rsidR="005E30F5" w:rsidRPr="00E56518">
              <w:rPr>
                <w:lang w:val="en-GB"/>
              </w:rPr>
              <w:t xml:space="preserve">; </w:t>
            </w:r>
            <w:r w:rsidR="006F41C7" w:rsidRPr="00E56518">
              <w:rPr>
                <w:u w:val="single"/>
                <w:lang w:val="en-GB"/>
              </w:rPr>
              <w:t>Honoris Causa</w:t>
            </w:r>
            <w:r w:rsidR="006F41C7" w:rsidRPr="00E56518">
              <w:rPr>
                <w:lang w:val="en-GB"/>
              </w:rPr>
              <w:t>: Management, Moldova</w:t>
            </w:r>
            <w:r w:rsidR="005E30F5" w:rsidRPr="00E56518">
              <w:rPr>
                <w:lang w:val="en-GB"/>
              </w:rPr>
              <w:t xml:space="preserve">; </w:t>
            </w:r>
            <w:r w:rsidRPr="00E56518">
              <w:rPr>
                <w:u w:val="single"/>
                <w:lang w:val="en-GB"/>
              </w:rPr>
              <w:t>Chair:</w:t>
            </w:r>
            <w:r w:rsidR="006F41C7" w:rsidRPr="00E56518">
              <w:rPr>
                <w:u w:val="single"/>
                <w:lang w:val="en-GB"/>
              </w:rPr>
              <w:t xml:space="preserve"> </w:t>
            </w:r>
            <w:r w:rsidR="006F41C7" w:rsidRPr="00E56518">
              <w:rPr>
                <w:lang w:val="en-GB"/>
              </w:rPr>
              <w:t>International Relations, Diplomatic Sciences and European Union Law and Organisation</w:t>
            </w:r>
            <w:r w:rsidR="005E30F5" w:rsidRPr="00E56518">
              <w:rPr>
                <w:lang w:val="en-GB"/>
              </w:rPr>
              <w:t xml:space="preserve">. </w:t>
            </w:r>
            <w:r w:rsidR="006F41C7" w:rsidRPr="00E56518">
              <w:rPr>
                <w:lang w:val="en-GB"/>
              </w:rPr>
              <w:t>He is Italian Journalist and expert of International Relations, Science PO and Eastern Europe. The last studies and research are about Immigration, Geopolitical, Social Security and Freedom. Today is Vice Rector for the International Relations and European Integration at International Institute of Management, IMI-Nova (Moldova). Till 30 June 2020 was Professor at North Kazakhstan State University where was Vice Rector of International relations professor at Link Campus University</w:t>
            </w:r>
            <w:r w:rsidR="006F41C7" w:rsidRPr="00E56518">
              <w:rPr>
                <w:shd w:val="clear" w:color="auto" w:fill="FFFFFF"/>
                <w:lang w:val="en-GB"/>
              </w:rPr>
              <w:t xml:space="preserve"> where since 2007, has taught the course </w:t>
            </w:r>
            <w:r w:rsidR="006F41C7" w:rsidRPr="00E56518">
              <w:rPr>
                <w:lang w:val="en-GB"/>
              </w:rPr>
              <w:t>of European Political Organisation European Political Systems, and since 2016 Diplomatic Sciences and European Union law. He is coordinator of more than 30 EU and International projects as well in Azerbaijan, Russia, Moldova, Ukraine and Kazakhstan since 2006. He is NPD co-director of Midas SPS Project in Moldova (</w:t>
            </w:r>
            <w:r w:rsidR="006F41C7" w:rsidRPr="00E56518">
              <w:rPr>
                <w:noProof/>
                <w:lang w:val="en-GB"/>
              </w:rPr>
              <w:t>Control of team of mini-UAVs to support counter-terrorism missions) and member of SPS Nato project Witness (Wide InTegration of sensor Networks to Enable Smart Surveillance).</w:t>
            </w:r>
            <w:r w:rsidR="006F41C7" w:rsidRPr="00E56518">
              <w:rPr>
                <w:lang w:val="en-GB"/>
              </w:rPr>
              <w:t xml:space="preserve"> He is full member of International Political Science Association (IPSA) and Italian SISE, editor in chief of several scientific journal with Scopus, etc. He is author of 24 Monography and more than one hundred scientific articles</w:t>
            </w:r>
            <w:r w:rsidR="00E56518" w:rsidRPr="00E56518">
              <w:rPr>
                <w:lang w:val="en-GB"/>
              </w:rPr>
              <w:t xml:space="preserve">, </w:t>
            </w:r>
            <w:r w:rsidR="00E56518" w:rsidRPr="00E56518">
              <w:rPr>
                <w:lang w:val="en-US"/>
              </w:rPr>
              <w:t xml:space="preserve">Adviser for </w:t>
            </w:r>
            <w:proofErr w:type="spellStart"/>
            <w:r w:rsidR="00E56518" w:rsidRPr="00E56518">
              <w:rPr>
                <w:lang w:val="en-US"/>
              </w:rPr>
              <w:t>Internationalisation</w:t>
            </w:r>
            <w:proofErr w:type="spellEnd"/>
            <w:r w:rsidR="00E56518" w:rsidRPr="00E56518">
              <w:rPr>
                <w:lang w:val="en-US"/>
              </w:rPr>
              <w:t xml:space="preserve"> of the Rector, University of Cassino and Southern Lazio (Italy) from </w:t>
            </w:r>
            <w:proofErr w:type="spellStart"/>
            <w:r w:rsidR="00E56518" w:rsidRPr="00E56518">
              <w:rPr>
                <w:lang w:val="en-US"/>
              </w:rPr>
              <w:t>a.y</w:t>
            </w:r>
            <w:proofErr w:type="spellEnd"/>
            <w:r w:rsidR="00E56518" w:rsidRPr="00E56518">
              <w:rPr>
                <w:lang w:val="en-US"/>
              </w:rPr>
              <w:t xml:space="preserve">. 2018/2019, Chair of History of International Relations and History of Oriental Europe (6 </w:t>
            </w:r>
            <w:proofErr w:type="spellStart"/>
            <w:r w:rsidR="00E56518" w:rsidRPr="00E56518">
              <w:rPr>
                <w:lang w:val="en-US"/>
              </w:rPr>
              <w:t>Ects</w:t>
            </w:r>
            <w:proofErr w:type="spellEnd"/>
            <w:r w:rsidR="00E56518" w:rsidRPr="00E56518">
              <w:rPr>
                <w:lang w:val="en-US"/>
              </w:rPr>
              <w:t xml:space="preserve">), since a-y 2020/21; Chair of International Sport Management and Sport Governance, 4 ECTS from </w:t>
            </w:r>
            <w:proofErr w:type="spellStart"/>
            <w:r w:rsidR="00E56518" w:rsidRPr="00E56518">
              <w:rPr>
                <w:lang w:val="en-US"/>
              </w:rPr>
              <w:t>a.y</w:t>
            </w:r>
            <w:proofErr w:type="spellEnd"/>
            <w:r w:rsidR="00E56518" w:rsidRPr="00E56518">
              <w:rPr>
                <w:lang w:val="en-US"/>
              </w:rPr>
              <w:t>. 22/23</w:t>
            </w:r>
            <w:r w:rsidR="00E56518">
              <w:rPr>
                <w:lang w:val="en-US"/>
              </w:rPr>
              <w:t xml:space="preserve">; </w:t>
            </w:r>
            <w:r w:rsidR="00E56518" w:rsidRPr="00E56518">
              <w:rPr>
                <w:color w:val="000000"/>
                <w:lang w:val="en-GB"/>
              </w:rPr>
              <w:t xml:space="preserve">since 2005 </w:t>
            </w:r>
            <w:r w:rsidR="00E56518" w:rsidRPr="00E56518">
              <w:rPr>
                <w:lang w:val="en-US"/>
              </w:rPr>
              <w:t xml:space="preserve">Vice Rector for International Affairs and European Integration </w:t>
            </w:r>
            <w:r w:rsidR="00E56518" w:rsidRPr="00E56518">
              <w:rPr>
                <w:color w:val="000000"/>
                <w:lang w:val="en-GB"/>
              </w:rPr>
              <w:t>at International Institute of Management, IMI-Nova</w:t>
            </w:r>
            <w:r w:rsidR="00E56518" w:rsidRPr="00E56518">
              <w:rPr>
                <w:color w:val="000000"/>
                <w:lang w:val="en-US"/>
              </w:rPr>
              <w:t xml:space="preserve">, Co-Director Double Diploma in Management with University of Nice (F) and IMI-Nova </w:t>
            </w:r>
            <w:proofErr w:type="spellStart"/>
            <w:r w:rsidR="00E56518" w:rsidRPr="00E56518">
              <w:rPr>
                <w:color w:val="000000"/>
                <w:lang w:val="en-US"/>
              </w:rPr>
              <w:t>Chişinău</w:t>
            </w:r>
            <w:proofErr w:type="spellEnd"/>
            <w:r w:rsidR="00E56518" w:rsidRPr="00E56518">
              <w:rPr>
                <w:color w:val="000000"/>
                <w:lang w:val="en-US"/>
              </w:rPr>
              <w:t xml:space="preserve"> (since 2008, Republic of Moldova), from </w:t>
            </w:r>
            <w:proofErr w:type="spellStart"/>
            <w:r w:rsidR="00E56518" w:rsidRPr="00E56518">
              <w:rPr>
                <w:color w:val="000000"/>
                <w:lang w:val="en-US"/>
              </w:rPr>
              <w:t>a.y</w:t>
            </w:r>
            <w:proofErr w:type="spellEnd"/>
            <w:r w:rsidR="00E56518" w:rsidRPr="00E56518">
              <w:rPr>
                <w:color w:val="000000"/>
                <w:lang w:val="en-US"/>
              </w:rPr>
              <w:t>. 1999-2000</w:t>
            </w:r>
            <w:r w:rsidR="00E56518">
              <w:rPr>
                <w:color w:val="000000"/>
                <w:lang w:val="en-US"/>
              </w:rPr>
              <w:t xml:space="preserve">; </w:t>
            </w:r>
            <w:r w:rsidR="00E56518" w:rsidRPr="00E56518">
              <w:rPr>
                <w:color w:val="000000"/>
                <w:lang w:val="en-US"/>
              </w:rPr>
              <w:t>Adviser of NATO-SPS at North Kazakhstan State University TEAM, Consultant, since 2019.</w:t>
            </w:r>
          </w:p>
          <w:p w14:paraId="56F82D8C" w14:textId="0230E949" w:rsidR="006A5B91" w:rsidRPr="005E30F5" w:rsidRDefault="006A5B91" w:rsidP="005E30F5">
            <w:pPr>
              <w:jc w:val="both"/>
              <w:rPr>
                <w:u w:val="single"/>
                <w:lang w:val="en-GB"/>
              </w:rPr>
            </w:pPr>
          </w:p>
        </w:tc>
      </w:tr>
    </w:tbl>
    <w:p w14:paraId="138D6037" w14:textId="77777777" w:rsidR="006A5B91" w:rsidRPr="00376D15" w:rsidRDefault="006A5B91" w:rsidP="005E30F5">
      <w:pPr>
        <w:spacing w:after="0" w:line="240" w:lineRule="auto"/>
        <w:jc w:val="center"/>
        <w:rPr>
          <w:b/>
          <w:color w:val="2E74B5" w:themeColor="accent1" w:themeShade="BF"/>
          <w:lang w:val="en-GB"/>
        </w:rPr>
      </w:pPr>
    </w:p>
    <w:p w14:paraId="31B0E47D" w14:textId="4C801D9E" w:rsidR="006A5B91" w:rsidRPr="00376D15" w:rsidRDefault="00E56518" w:rsidP="005E30F5">
      <w:pPr>
        <w:jc w:val="center"/>
        <w:rPr>
          <w:b/>
          <w:color w:val="2E74B5" w:themeColor="accent1" w:themeShade="BF"/>
          <w:lang w:val="en-GB"/>
        </w:rPr>
      </w:pPr>
      <w:r>
        <w:rPr>
          <w:b/>
          <w:color w:val="2E74B5" w:themeColor="accent1" w:themeShade="BF"/>
          <w:lang w:val="en-GB"/>
        </w:rPr>
        <w:t xml:space="preserve">Relevant </w:t>
      </w:r>
      <w:r w:rsidR="006A5B91" w:rsidRPr="00376D15">
        <w:rPr>
          <w:b/>
          <w:color w:val="2E74B5" w:themeColor="accent1" w:themeShade="BF"/>
          <w:lang w:val="en-GB"/>
        </w:rPr>
        <w:t>PUBLICATIONS</w:t>
      </w:r>
    </w:p>
    <w:tbl>
      <w:tblPr>
        <w:tblStyle w:val="Grigliatabella"/>
        <w:tblW w:w="10915" w:type="dxa"/>
        <w:tblInd w:w="-147" w:type="dxa"/>
        <w:tblLook w:val="04A0" w:firstRow="1" w:lastRow="0" w:firstColumn="1" w:lastColumn="0" w:noHBand="0" w:noVBand="1"/>
      </w:tblPr>
      <w:tblGrid>
        <w:gridCol w:w="10915"/>
      </w:tblGrid>
      <w:tr w:rsidR="006A5B91" w:rsidRPr="005E30F5" w14:paraId="5CA633E7" w14:textId="77777777" w:rsidTr="005E30F5">
        <w:tc>
          <w:tcPr>
            <w:tcW w:w="10915" w:type="dxa"/>
          </w:tcPr>
          <w:p w14:paraId="6A3A6653" w14:textId="77777777" w:rsidR="00376D15" w:rsidRPr="005E30F5" w:rsidRDefault="006A5B91" w:rsidP="005E30F5">
            <w:pPr>
              <w:tabs>
                <w:tab w:val="left" w:pos="720"/>
              </w:tabs>
              <w:jc w:val="both"/>
              <w:rPr>
                <w:lang w:val="en-GB"/>
              </w:rPr>
            </w:pPr>
            <w:r w:rsidRPr="005E30F5">
              <w:rPr>
                <w:lang w:val="en-GB"/>
              </w:rPr>
              <w:t>1</w:t>
            </w:r>
            <w:r w:rsidR="00344AA9" w:rsidRPr="005E30F5">
              <w:rPr>
                <w:lang w:val="en-GB"/>
              </w:rPr>
              <w:t>.</w:t>
            </w:r>
            <w:r w:rsidR="00376D15" w:rsidRPr="005E30F5">
              <w:rPr>
                <w:lang w:val="en-GB"/>
              </w:rPr>
              <w:t xml:space="preserve"> </w:t>
            </w:r>
            <w:r w:rsidR="00376D15" w:rsidRPr="00784F6D">
              <w:rPr>
                <w:bCs/>
                <w:i/>
                <w:lang w:val="en-GB"/>
              </w:rPr>
              <w:t>Bologna Process and Fisheries education</w:t>
            </w:r>
            <w:r w:rsidR="00376D15" w:rsidRPr="005E30F5">
              <w:rPr>
                <w:lang w:val="en-GB"/>
              </w:rPr>
              <w:t xml:space="preserve">, edited by, with T. Potempa, </w:t>
            </w:r>
            <w:proofErr w:type="spellStart"/>
            <w:r w:rsidR="00376D15" w:rsidRPr="005E30F5">
              <w:rPr>
                <w:lang w:val="en-GB"/>
              </w:rPr>
              <w:t>Eurlink</w:t>
            </w:r>
            <w:proofErr w:type="spellEnd"/>
            <w:r w:rsidR="00376D15" w:rsidRPr="005E30F5">
              <w:rPr>
                <w:lang w:val="en-GB"/>
              </w:rPr>
              <w:t>, Rome, 2019.</w:t>
            </w:r>
          </w:p>
          <w:p w14:paraId="5D7472F7" w14:textId="77777777" w:rsidR="00376D15" w:rsidRPr="00784F6D" w:rsidRDefault="006A5B91" w:rsidP="005E30F5">
            <w:pPr>
              <w:tabs>
                <w:tab w:val="left" w:pos="720"/>
              </w:tabs>
              <w:jc w:val="both"/>
              <w:rPr>
                <w:bCs/>
                <w:lang w:val="en-US"/>
              </w:rPr>
            </w:pPr>
            <w:r w:rsidRPr="005E30F5">
              <w:rPr>
                <w:lang w:val="en-GB"/>
              </w:rPr>
              <w:t>2</w:t>
            </w:r>
            <w:r w:rsidR="00344AA9" w:rsidRPr="005E30F5">
              <w:rPr>
                <w:lang w:val="en-GB"/>
              </w:rPr>
              <w:t>.</w:t>
            </w:r>
            <w:r w:rsidR="00376D15" w:rsidRPr="005E30F5">
              <w:rPr>
                <w:lang w:val="en-GB"/>
              </w:rPr>
              <w:t xml:space="preserve"> </w:t>
            </w:r>
            <w:r w:rsidR="00376D15" w:rsidRPr="00784F6D">
              <w:rPr>
                <w:bCs/>
                <w:i/>
                <w:lang w:val="en-US"/>
              </w:rPr>
              <w:t>Tuning environmental competencies in Russian fishery education for sustainable development</w:t>
            </w:r>
            <w:r w:rsidR="00376D15" w:rsidRPr="00784F6D">
              <w:rPr>
                <w:bCs/>
                <w:lang w:val="en-US"/>
              </w:rPr>
              <w:t xml:space="preserve">, with Thomas Potempa and Sergey </w:t>
            </w:r>
            <w:proofErr w:type="spellStart"/>
            <w:r w:rsidR="00376D15" w:rsidRPr="00784F6D">
              <w:rPr>
                <w:bCs/>
                <w:lang w:val="en-US"/>
              </w:rPr>
              <w:t>Shibaev</w:t>
            </w:r>
            <w:proofErr w:type="spellEnd"/>
            <w:r w:rsidR="00376D15" w:rsidRPr="00784F6D">
              <w:rPr>
                <w:bCs/>
                <w:lang w:val="en-US"/>
              </w:rPr>
              <w:t xml:space="preserve">, ISBN 978-88-97931-744, </w:t>
            </w:r>
            <w:proofErr w:type="spellStart"/>
            <w:r w:rsidR="00376D15" w:rsidRPr="00784F6D">
              <w:rPr>
                <w:bCs/>
                <w:lang w:val="en-US"/>
              </w:rPr>
              <w:t>Eurilink</w:t>
            </w:r>
            <w:proofErr w:type="spellEnd"/>
            <w:r w:rsidR="00376D15" w:rsidRPr="00784F6D">
              <w:rPr>
                <w:bCs/>
                <w:lang w:val="en-US"/>
              </w:rPr>
              <w:t>, Roma, 2016.</w:t>
            </w:r>
          </w:p>
          <w:p w14:paraId="576B4E63" w14:textId="77777777" w:rsidR="00376D15" w:rsidRPr="00784F6D" w:rsidRDefault="00376D15" w:rsidP="005E30F5">
            <w:pPr>
              <w:tabs>
                <w:tab w:val="left" w:pos="720"/>
              </w:tabs>
              <w:jc w:val="both"/>
              <w:rPr>
                <w:bCs/>
                <w:lang w:val="en-US"/>
              </w:rPr>
            </w:pPr>
            <w:r w:rsidRPr="00784F6D">
              <w:rPr>
                <w:bCs/>
                <w:lang w:val="en-GB"/>
              </w:rPr>
              <w:t>3</w:t>
            </w:r>
            <w:r w:rsidR="00344AA9" w:rsidRPr="00784F6D">
              <w:rPr>
                <w:bCs/>
                <w:lang w:val="en-GB"/>
              </w:rPr>
              <w:t>.</w:t>
            </w:r>
            <w:r w:rsidRPr="00784F6D">
              <w:rPr>
                <w:bCs/>
                <w:lang w:val="en-GB"/>
              </w:rPr>
              <w:t xml:space="preserve"> </w:t>
            </w:r>
            <w:r w:rsidRPr="00784F6D">
              <w:rPr>
                <w:bCs/>
                <w:i/>
                <w:lang w:val="en-US"/>
              </w:rPr>
              <w:t>Quality Control</w:t>
            </w:r>
            <w:r w:rsidRPr="00784F6D">
              <w:rPr>
                <w:bCs/>
                <w:lang w:val="en-US"/>
              </w:rPr>
              <w:t xml:space="preserve">, with </w:t>
            </w:r>
            <w:proofErr w:type="spellStart"/>
            <w:r w:rsidRPr="00784F6D">
              <w:rPr>
                <w:bCs/>
                <w:lang w:val="en-US"/>
              </w:rPr>
              <w:t>L.</w:t>
            </w:r>
            <w:proofErr w:type="gramStart"/>
            <w:r w:rsidRPr="00784F6D">
              <w:rPr>
                <w:bCs/>
                <w:lang w:val="en-US"/>
              </w:rPr>
              <w:t>A.Ismagilova</w:t>
            </w:r>
            <w:proofErr w:type="spellEnd"/>
            <w:proofErr w:type="gramEnd"/>
            <w:r w:rsidRPr="00784F6D">
              <w:rPr>
                <w:bCs/>
                <w:lang w:val="en-US"/>
              </w:rPr>
              <w:t xml:space="preserve">, E.V. Orlova and </w:t>
            </w:r>
            <w:proofErr w:type="spellStart"/>
            <w:proofErr w:type="gramStart"/>
            <w:r w:rsidRPr="00784F6D">
              <w:rPr>
                <w:bCs/>
                <w:lang w:val="en-US"/>
              </w:rPr>
              <w:t>T.Torre</w:t>
            </w:r>
            <w:proofErr w:type="spellEnd"/>
            <w:proofErr w:type="gramEnd"/>
            <w:r w:rsidRPr="00784F6D">
              <w:rPr>
                <w:bCs/>
                <w:lang w:val="en-US"/>
              </w:rPr>
              <w:t xml:space="preserve">, </w:t>
            </w:r>
            <w:proofErr w:type="spellStart"/>
            <w:r w:rsidRPr="00784F6D">
              <w:rPr>
                <w:bCs/>
                <w:lang w:val="en-US"/>
              </w:rPr>
              <w:t>Tacis</w:t>
            </w:r>
            <w:proofErr w:type="spellEnd"/>
            <w:r w:rsidRPr="00784F6D">
              <w:rPr>
                <w:bCs/>
                <w:lang w:val="en-US"/>
              </w:rPr>
              <w:t xml:space="preserve"> Jep </w:t>
            </w:r>
            <w:r w:rsidRPr="00784F6D">
              <w:rPr>
                <w:bCs/>
                <w:lang w:val="en-GB"/>
              </w:rPr>
              <w:t xml:space="preserve">JEP 27107-2006, </w:t>
            </w:r>
            <w:r w:rsidRPr="00784F6D">
              <w:rPr>
                <w:bCs/>
                <w:lang w:val="en-US"/>
              </w:rPr>
              <w:t>Ufa University Press, ISBN  978-5-4221-0058-3, Ufa, Russian Federation, 2010.</w:t>
            </w:r>
          </w:p>
          <w:p w14:paraId="4AAB11F1" w14:textId="77777777" w:rsidR="00376D15" w:rsidRPr="00784F6D" w:rsidRDefault="00376D15" w:rsidP="005E30F5">
            <w:pPr>
              <w:tabs>
                <w:tab w:val="left" w:pos="720"/>
              </w:tabs>
              <w:jc w:val="both"/>
              <w:rPr>
                <w:bCs/>
                <w:lang w:val="en-US"/>
              </w:rPr>
            </w:pPr>
            <w:r w:rsidRPr="00784F6D">
              <w:rPr>
                <w:bCs/>
                <w:lang w:val="en-US"/>
              </w:rPr>
              <w:lastRenderedPageBreak/>
              <w:t xml:space="preserve">4. </w:t>
            </w:r>
            <w:r w:rsidRPr="00784F6D">
              <w:rPr>
                <w:bCs/>
                <w:i/>
                <w:lang w:val="en-US"/>
              </w:rPr>
              <w:t>Sustainable “University – Enterprise” partnership</w:t>
            </w:r>
            <w:r w:rsidRPr="00784F6D">
              <w:rPr>
                <w:bCs/>
                <w:lang w:val="en-US"/>
              </w:rPr>
              <w:t xml:space="preserve">, LUDES University Press, CD Book, </w:t>
            </w:r>
            <w:r w:rsidRPr="00784F6D">
              <w:rPr>
                <w:bCs/>
                <w:lang w:val="en-GB"/>
              </w:rPr>
              <w:t xml:space="preserve">ISBN 978-88-6047-029-9, </w:t>
            </w:r>
            <w:r w:rsidRPr="00784F6D">
              <w:rPr>
                <w:bCs/>
                <w:lang w:val="en-US"/>
              </w:rPr>
              <w:t>Lugano, Switzerland</w:t>
            </w:r>
            <w:r w:rsidRPr="00784F6D">
              <w:rPr>
                <w:bCs/>
                <w:lang w:val="en-GB"/>
              </w:rPr>
              <w:t>, 2009</w:t>
            </w:r>
          </w:p>
          <w:p w14:paraId="646B0FE3" w14:textId="77777777" w:rsidR="00E56518" w:rsidRDefault="00D11560" w:rsidP="00E56518">
            <w:pPr>
              <w:shd w:val="clear" w:color="auto" w:fill="FFFFFF"/>
              <w:jc w:val="both"/>
              <w:rPr>
                <w:lang w:val="en-GB"/>
              </w:rPr>
            </w:pPr>
            <w:r w:rsidRPr="00784F6D">
              <w:rPr>
                <w:bCs/>
                <w:lang w:val="en-GB"/>
              </w:rPr>
              <w:t>5</w:t>
            </w:r>
            <w:r w:rsidR="00344AA9" w:rsidRPr="00784F6D">
              <w:rPr>
                <w:bCs/>
                <w:lang w:val="en-GB"/>
              </w:rPr>
              <w:t>.</w:t>
            </w:r>
            <w:r w:rsidR="00376D15" w:rsidRPr="00784F6D">
              <w:rPr>
                <w:bCs/>
                <w:lang w:val="en-GB"/>
              </w:rPr>
              <w:t xml:space="preserve"> </w:t>
            </w:r>
            <w:r w:rsidR="00376D15" w:rsidRPr="00784F6D">
              <w:rPr>
                <w:bCs/>
                <w:i/>
                <w:lang w:val="en-GB"/>
              </w:rPr>
              <w:t>Bologna process</w:t>
            </w:r>
            <w:r w:rsidR="00376D15" w:rsidRPr="00784F6D">
              <w:rPr>
                <w:bCs/>
                <w:lang w:val="en-GB"/>
              </w:rPr>
              <w:t xml:space="preserve"> in Geopolitical Social Securit</w:t>
            </w:r>
            <w:r w:rsidR="005E30F5">
              <w:rPr>
                <w:lang w:val="en-GB"/>
              </w:rPr>
              <w:t xml:space="preserve">y and Freedom Journal, </w:t>
            </w:r>
            <w:proofErr w:type="spellStart"/>
            <w:r w:rsidR="005E30F5">
              <w:rPr>
                <w:lang w:val="en-GB"/>
              </w:rPr>
              <w:t>Sciendo</w:t>
            </w:r>
            <w:proofErr w:type="spellEnd"/>
            <w:r w:rsidR="00376D15" w:rsidRPr="005E30F5">
              <w:rPr>
                <w:lang w:val="en-GB"/>
              </w:rPr>
              <w:t xml:space="preserve">, </w:t>
            </w:r>
            <w:r w:rsidR="005E30F5">
              <w:rPr>
                <w:lang w:val="en-GB"/>
              </w:rPr>
              <w:t xml:space="preserve">Poland, </w:t>
            </w:r>
            <w:r w:rsidR="00376D15" w:rsidRPr="005E30F5">
              <w:rPr>
                <w:lang w:val="en-GB"/>
              </w:rPr>
              <w:t>Issue 2-2018.</w:t>
            </w:r>
          </w:p>
          <w:p w14:paraId="50E378AF" w14:textId="77777777" w:rsidR="00E56518" w:rsidRDefault="00E56518" w:rsidP="00E56518">
            <w:pPr>
              <w:shd w:val="clear" w:color="auto" w:fill="FFFFFF"/>
              <w:jc w:val="both"/>
              <w:rPr>
                <w:rStyle w:val="list-group-item"/>
                <w:shd w:val="clear" w:color="auto" w:fill="FFFFFF"/>
                <w:lang w:val="en-US"/>
              </w:rPr>
            </w:pPr>
            <w:r>
              <w:rPr>
                <w:i/>
                <w:lang w:val="en-US"/>
              </w:rPr>
              <w:t>6.</w:t>
            </w:r>
            <w:r w:rsidRPr="00F351E7">
              <w:rPr>
                <w:i/>
                <w:lang w:val="en-US"/>
              </w:rPr>
              <w:t>The problem of harmonizing the environmental priorities of electricity generating companies and regional socio-economic systems: Dea-Based approach, (SCOPUS</w:t>
            </w:r>
            <w:r>
              <w:rPr>
                <w:i/>
                <w:lang w:val="en-US"/>
              </w:rPr>
              <w:t>, Q3</w:t>
            </w:r>
            <w:r w:rsidRPr="00F351E7">
              <w:rPr>
                <w:i/>
                <w:lang w:val="en-US"/>
              </w:rPr>
              <w:t xml:space="preserve">), with </w:t>
            </w:r>
            <w:r w:rsidRPr="00F351E7">
              <w:rPr>
                <w:rStyle w:val="previewtxt"/>
                <w:lang w:val="en-US"/>
              </w:rPr>
              <w:t>Iosifov, V.V.</w:t>
            </w:r>
            <w:r w:rsidRPr="00F351E7">
              <w:rPr>
                <w:rStyle w:val="guestview"/>
                <w:lang w:val="en-US"/>
              </w:rPr>
              <w:t>,</w:t>
            </w:r>
            <w:r w:rsidRPr="00BC5FB1">
              <w:rPr>
                <w:lang w:val="en-GB"/>
              </w:rPr>
              <w:t xml:space="preserve"> </w:t>
            </w:r>
            <w:proofErr w:type="spellStart"/>
            <w:r w:rsidRPr="00F351E7">
              <w:rPr>
                <w:rStyle w:val="previewtxt"/>
                <w:lang w:val="en-US"/>
              </w:rPr>
              <w:t>Almastyan</w:t>
            </w:r>
            <w:proofErr w:type="spellEnd"/>
            <w:r w:rsidRPr="00F351E7">
              <w:rPr>
                <w:rStyle w:val="previewtxt"/>
                <w:lang w:val="en-US"/>
              </w:rPr>
              <w:t>, N.A.</w:t>
            </w:r>
            <w:r w:rsidRPr="00F351E7">
              <w:rPr>
                <w:rStyle w:val="guestview"/>
                <w:lang w:val="en-US"/>
              </w:rPr>
              <w:t>,</w:t>
            </w:r>
            <w:r w:rsidRPr="00BC5FB1">
              <w:rPr>
                <w:lang w:val="en-GB"/>
              </w:rPr>
              <w:t xml:space="preserve"> </w:t>
            </w:r>
            <w:proofErr w:type="spellStart"/>
            <w:r w:rsidRPr="00F351E7">
              <w:rPr>
                <w:rStyle w:val="previewtxt"/>
                <w:lang w:val="en-US"/>
              </w:rPr>
              <w:t>Chepurko</w:t>
            </w:r>
            <w:proofErr w:type="spellEnd"/>
            <w:r w:rsidRPr="00F351E7">
              <w:rPr>
                <w:rStyle w:val="previewtxt"/>
                <w:lang w:val="en-US"/>
              </w:rPr>
              <w:t>, Y.A.</w:t>
            </w:r>
            <w:r w:rsidRPr="00F351E7">
              <w:rPr>
                <w:rStyle w:val="guestview"/>
                <w:lang w:val="en-US"/>
              </w:rPr>
              <w:t>,</w:t>
            </w:r>
            <w:r w:rsidRPr="00BC5FB1">
              <w:rPr>
                <w:lang w:val="en-GB"/>
              </w:rPr>
              <w:t xml:space="preserve"> </w:t>
            </w:r>
            <w:r w:rsidRPr="00F351E7">
              <w:rPr>
                <w:rStyle w:val="previewtxt"/>
                <w:lang w:val="en-US"/>
              </w:rPr>
              <w:t>Hiển, N.H.</w:t>
            </w:r>
            <w:r w:rsidRPr="00F351E7">
              <w:rPr>
                <w:rStyle w:val="guestview"/>
                <w:lang w:val="en-US"/>
              </w:rPr>
              <w:t>,</w:t>
            </w:r>
            <w:r w:rsidRPr="00BC5FB1">
              <w:rPr>
                <w:lang w:val="en-GB"/>
              </w:rPr>
              <w:t xml:space="preserve"> </w:t>
            </w:r>
            <w:r w:rsidRPr="00F351E7">
              <w:rPr>
                <w:rStyle w:val="previewtxt"/>
                <w:lang w:val="en-US"/>
              </w:rPr>
              <w:t>Krotova, M.A., on “</w:t>
            </w:r>
            <w:r w:rsidRPr="00F351E7">
              <w:rPr>
                <w:rStyle w:val="list-group-item"/>
                <w:shd w:val="clear" w:color="auto" w:fill="FFFFFF"/>
                <w:lang w:val="en-US"/>
              </w:rPr>
              <w:t>International Journal of Energy Economics and Policy”, Volume 7, Issue 5, 2017, Pages 159-165.</w:t>
            </w:r>
          </w:p>
          <w:p w14:paraId="4FACDDC2" w14:textId="77777777" w:rsidR="00E56518" w:rsidRDefault="00E56518" w:rsidP="00E56518">
            <w:pPr>
              <w:shd w:val="clear" w:color="auto" w:fill="FFFFFF"/>
              <w:jc w:val="both"/>
              <w:rPr>
                <w:color w:val="000000"/>
                <w:shd w:val="clear" w:color="auto" w:fill="FFFFFF"/>
                <w:lang w:val="en-US"/>
              </w:rPr>
            </w:pPr>
            <w:r>
              <w:rPr>
                <w:shd w:val="clear" w:color="auto" w:fill="FFFFFF"/>
                <w:lang w:val="en-US"/>
              </w:rPr>
              <w:t xml:space="preserve">7. </w:t>
            </w:r>
            <w:hyperlink r:id="rId9" w:history="1">
              <w:r w:rsidRPr="00E56518">
                <w:rPr>
                  <w:rStyle w:val="Collegamentoipertestuale"/>
                  <w:i/>
                  <w:color w:val="000000" w:themeColor="text1"/>
                  <w:u w:val="none"/>
                  <w:shd w:val="clear" w:color="auto" w:fill="FFFFFF"/>
                  <w:lang w:val="en-US"/>
                </w:rPr>
                <w:t>Measuring Regional Inequalities by amenity productivity approach for sustainable economic and environmental policies in EU</w:t>
              </w:r>
            </w:hyperlink>
            <w:r w:rsidRPr="00E56518">
              <w:rPr>
                <w:color w:val="000000" w:themeColor="text1"/>
                <w:lang w:val="en-US"/>
              </w:rPr>
              <w:t xml:space="preserve">, </w:t>
            </w:r>
            <w:r w:rsidRPr="00F351E7">
              <w:rPr>
                <w:lang w:val="en-US"/>
              </w:rPr>
              <w:t>(SCOPUS</w:t>
            </w:r>
            <w:r>
              <w:rPr>
                <w:lang w:val="en-US"/>
              </w:rPr>
              <w:t>, Q3</w:t>
            </w:r>
            <w:r w:rsidRPr="00F351E7">
              <w:rPr>
                <w:lang w:val="en-US"/>
              </w:rPr>
              <w:t xml:space="preserve">), </w:t>
            </w:r>
            <w:r w:rsidRPr="00F351E7">
              <w:rPr>
                <w:shd w:val="clear" w:color="auto" w:fill="FFFFFF"/>
                <w:lang w:val="en-US"/>
              </w:rPr>
              <w:t xml:space="preserve">edited </w:t>
            </w:r>
            <w:r w:rsidRPr="00F351E7">
              <w:rPr>
                <w:lang w:val="en-US"/>
              </w:rPr>
              <w:t xml:space="preserve">with </w:t>
            </w:r>
            <w:r w:rsidRPr="00F351E7">
              <w:rPr>
                <w:shd w:val="clear" w:color="auto" w:fill="FFFFFF"/>
                <w:lang w:val="en-US"/>
              </w:rPr>
              <w:t xml:space="preserve">Dimitrious </w:t>
            </w:r>
            <w:proofErr w:type="spellStart"/>
            <w:r w:rsidRPr="00F351E7">
              <w:rPr>
                <w:shd w:val="clear" w:color="auto" w:fill="FFFFFF"/>
                <w:lang w:val="en-US"/>
              </w:rPr>
              <w:t>Giannias</w:t>
            </w:r>
            <w:proofErr w:type="spellEnd"/>
            <w:r w:rsidRPr="00F351E7">
              <w:rPr>
                <w:shd w:val="clear" w:color="auto" w:fill="FFFFFF"/>
                <w:lang w:val="en-US"/>
              </w:rPr>
              <w:t xml:space="preserve">, Yuri </w:t>
            </w:r>
            <w:proofErr w:type="spellStart"/>
            <w:r w:rsidRPr="00F351E7">
              <w:rPr>
                <w:shd w:val="clear" w:color="auto" w:fill="FFFFFF"/>
                <w:lang w:val="en-US"/>
              </w:rPr>
              <w:t>Chepurko</w:t>
            </w:r>
            <w:proofErr w:type="spellEnd"/>
            <w:r w:rsidRPr="00F351E7">
              <w:rPr>
                <w:shd w:val="clear" w:color="auto" w:fill="FFFFFF"/>
                <w:lang w:val="en-US"/>
              </w:rPr>
              <w:t xml:space="preserve">, Nguyễn Hoàng Hiển, </w:t>
            </w:r>
            <w:r w:rsidRPr="00F351E7">
              <w:rPr>
                <w:rStyle w:val="Enfasigrassetto"/>
                <w:b w:val="0"/>
                <w:shd w:val="clear" w:color="auto" w:fill="FFFFFF"/>
                <w:lang w:val="en-US"/>
              </w:rPr>
              <w:t>JEL Classifications</w:t>
            </w:r>
            <w:r w:rsidRPr="00F351E7">
              <w:rPr>
                <w:rStyle w:val="Enfasigrassetto"/>
                <w:shd w:val="clear" w:color="auto" w:fill="FFFFFF"/>
                <w:lang w:val="en-US"/>
              </w:rPr>
              <w:t>: </w:t>
            </w:r>
            <w:r w:rsidRPr="00F351E7">
              <w:rPr>
                <w:shd w:val="clear" w:color="auto" w:fill="FFFFFF"/>
                <w:lang w:val="en-US"/>
              </w:rPr>
              <w:t>Q5; Q50; R11;</w:t>
            </w:r>
            <w:r w:rsidRPr="00F351E7">
              <w:rPr>
                <w:color w:val="111111"/>
                <w:shd w:val="clear" w:color="auto" w:fill="FFFFFF"/>
                <w:lang w:val="en-US"/>
              </w:rPr>
              <w:t xml:space="preserve"> R58; Q56, on “</w:t>
            </w:r>
            <w:r w:rsidRPr="00F351E7">
              <w:rPr>
                <w:color w:val="000000"/>
                <w:shd w:val="clear" w:color="auto" w:fill="FFFFFF"/>
                <w:lang w:val="en-US"/>
              </w:rPr>
              <w:t>International Journal of Energy Economics and Policy</w:t>
            </w:r>
            <w:r>
              <w:rPr>
                <w:color w:val="000000"/>
                <w:shd w:val="clear" w:color="auto" w:fill="FFFFFF"/>
                <w:lang w:val="en-US"/>
              </w:rPr>
              <w:t xml:space="preserve">” </w:t>
            </w:r>
            <w:r w:rsidRPr="00F351E7">
              <w:rPr>
                <w:color w:val="000000"/>
                <w:shd w:val="clear" w:color="auto" w:fill="FFFFFF"/>
                <w:lang w:val="en-US"/>
              </w:rPr>
              <w:t>7 (4), 107-114, 2017.</w:t>
            </w:r>
          </w:p>
          <w:p w14:paraId="39418E70" w14:textId="77777777" w:rsidR="00E56518" w:rsidRDefault="00E56518" w:rsidP="00E56518">
            <w:pPr>
              <w:shd w:val="clear" w:color="auto" w:fill="FFFFFF"/>
              <w:jc w:val="both"/>
              <w:rPr>
                <w:color w:val="000000"/>
                <w:lang w:val="en-US"/>
              </w:rPr>
            </w:pPr>
            <w:r>
              <w:rPr>
                <w:i/>
                <w:color w:val="000000"/>
                <w:shd w:val="clear" w:color="auto" w:fill="FFFFFF"/>
                <w:lang w:val="en-US"/>
              </w:rPr>
              <w:t xml:space="preserve">8. </w:t>
            </w:r>
            <w:r w:rsidRPr="00BC5FB1">
              <w:rPr>
                <w:i/>
                <w:lang w:val="en-US"/>
              </w:rPr>
              <w:t>Brexit: historical and socio-political developments</w:t>
            </w:r>
            <w:r w:rsidRPr="00BC5FB1">
              <w:rPr>
                <w:lang w:val="en-US"/>
              </w:rPr>
              <w:t>, b</w:t>
            </w:r>
            <w:r w:rsidRPr="00BC5FB1">
              <w:rPr>
                <w:color w:val="000000"/>
                <w:lang w:val="en-US"/>
              </w:rPr>
              <w:t xml:space="preserve">y Alessandro Figus and Alessandro Rossetti, on </w:t>
            </w:r>
            <w:r>
              <w:rPr>
                <w:color w:val="000000"/>
                <w:lang w:val="en-US"/>
              </w:rPr>
              <w:t xml:space="preserve">“Academic </w:t>
            </w:r>
            <w:r w:rsidRPr="00F351E7">
              <w:rPr>
                <w:shd w:val="clear" w:color="auto" w:fill="FFFFFF"/>
                <w:lang w:val="en-US"/>
              </w:rPr>
              <w:t>Journal of Interdisciplinary Studies</w:t>
            </w:r>
            <w:r>
              <w:rPr>
                <w:shd w:val="clear" w:color="auto" w:fill="FFFFFF"/>
                <w:lang w:val="en-US"/>
              </w:rPr>
              <w:t>”</w:t>
            </w:r>
            <w:r w:rsidRPr="00F351E7">
              <w:rPr>
                <w:shd w:val="clear" w:color="auto" w:fill="FFFFFF"/>
                <w:lang w:val="en-US"/>
              </w:rPr>
              <w:t xml:space="preserve">, </w:t>
            </w:r>
            <w:r>
              <w:rPr>
                <w:shd w:val="clear" w:color="auto" w:fill="FFFFFF"/>
                <w:lang w:val="en-US"/>
              </w:rPr>
              <w:t xml:space="preserve">Classification Q2, </w:t>
            </w:r>
            <w:r w:rsidRPr="00F351E7">
              <w:rPr>
                <w:shd w:val="clear" w:color="auto" w:fill="FFFFFF"/>
                <w:lang w:val="en-US"/>
              </w:rPr>
              <w:t>Vol. 8 issue 4,</w:t>
            </w:r>
            <w:r w:rsidRPr="00F351E7">
              <w:rPr>
                <w:rFonts w:ascii="Arial" w:hAnsi="Arial" w:cs="Arial"/>
                <w:sz w:val="20"/>
                <w:szCs w:val="20"/>
                <w:shd w:val="clear" w:color="auto" w:fill="FFFFFF"/>
                <w:lang w:val="en-US"/>
              </w:rPr>
              <w:t xml:space="preserve"> </w:t>
            </w:r>
            <w:r w:rsidRPr="00F351E7">
              <w:rPr>
                <w:shd w:val="clear" w:color="auto" w:fill="FFFFFF"/>
                <w:lang w:val="en-US"/>
              </w:rPr>
              <w:t>Richtmann Publishing</w:t>
            </w:r>
            <w:r w:rsidRPr="00BC5FB1">
              <w:rPr>
                <w:color w:val="000000"/>
                <w:lang w:val="en-US"/>
              </w:rPr>
              <w:t>, p. 27, 2019, Italy.</w:t>
            </w:r>
          </w:p>
          <w:p w14:paraId="00AA93B7" w14:textId="77777777" w:rsidR="00E56518" w:rsidRDefault="00E56518" w:rsidP="00E56518">
            <w:pPr>
              <w:shd w:val="clear" w:color="auto" w:fill="FFFFFF"/>
              <w:jc w:val="both"/>
              <w:rPr>
                <w:color w:val="000000"/>
                <w:lang w:val="en-GB"/>
              </w:rPr>
            </w:pPr>
            <w:r>
              <w:rPr>
                <w:i/>
                <w:iCs/>
                <w:color w:val="000000"/>
                <w:lang w:val="en-US"/>
              </w:rPr>
              <w:t xml:space="preserve">9. </w:t>
            </w:r>
            <w:r w:rsidRPr="00BC5FB1">
              <w:rPr>
                <w:i/>
                <w:iCs/>
                <w:color w:val="000000"/>
                <w:lang w:val="en-US"/>
              </w:rPr>
              <w:t>Kazakhstan: socio-economic development, research and innovation</w:t>
            </w:r>
            <w:r w:rsidRPr="00BC5FB1">
              <w:rPr>
                <w:color w:val="000000"/>
                <w:lang w:val="en-US"/>
              </w:rPr>
              <w:t xml:space="preserve">, by Alessandro Figus and Dinmukhammed </w:t>
            </w:r>
            <w:proofErr w:type="spellStart"/>
            <w:r w:rsidRPr="00BC5FB1">
              <w:rPr>
                <w:color w:val="000000"/>
                <w:lang w:val="en-US"/>
              </w:rPr>
              <w:t>Shaikin</w:t>
            </w:r>
            <w:proofErr w:type="spellEnd"/>
            <w:r w:rsidRPr="00BC5FB1">
              <w:rPr>
                <w:color w:val="000000"/>
                <w:lang w:val="en-US"/>
              </w:rPr>
              <w:t xml:space="preserve">, on </w:t>
            </w:r>
            <w:r>
              <w:rPr>
                <w:color w:val="000000"/>
                <w:lang w:val="en-US"/>
              </w:rPr>
              <w:t>“</w:t>
            </w:r>
            <w:r w:rsidRPr="00F351E7">
              <w:rPr>
                <w:rFonts w:ascii="Arial" w:hAnsi="Arial" w:cs="Arial"/>
                <w:sz w:val="20"/>
                <w:szCs w:val="20"/>
                <w:shd w:val="clear" w:color="auto" w:fill="FFFFFF"/>
                <w:lang w:val="en-US"/>
              </w:rPr>
              <w:t xml:space="preserve">Academic </w:t>
            </w:r>
            <w:r w:rsidRPr="00F351E7">
              <w:rPr>
                <w:shd w:val="clear" w:color="auto" w:fill="FFFFFF"/>
                <w:lang w:val="en-US"/>
              </w:rPr>
              <w:t xml:space="preserve">Journal of Interdisciplinary Studies”, </w:t>
            </w:r>
            <w:r>
              <w:rPr>
                <w:shd w:val="clear" w:color="auto" w:fill="FFFFFF"/>
                <w:lang w:val="en-US"/>
              </w:rPr>
              <w:t xml:space="preserve">Classification Scopus Q2, </w:t>
            </w:r>
            <w:r w:rsidRPr="00F351E7">
              <w:rPr>
                <w:shd w:val="clear" w:color="auto" w:fill="FFFFFF"/>
                <w:lang w:val="en-US"/>
              </w:rPr>
              <w:t xml:space="preserve">Vol- 8. </w:t>
            </w:r>
            <w:proofErr w:type="spellStart"/>
            <w:r w:rsidRPr="00BC5FB1">
              <w:rPr>
                <w:shd w:val="clear" w:color="auto" w:fill="FFFFFF"/>
              </w:rPr>
              <w:t>Issue</w:t>
            </w:r>
            <w:proofErr w:type="spellEnd"/>
            <w:r w:rsidRPr="00BC5FB1">
              <w:rPr>
                <w:shd w:val="clear" w:color="auto" w:fill="FFFFFF"/>
              </w:rPr>
              <w:t xml:space="preserve"> 4,</w:t>
            </w:r>
            <w:r w:rsidRPr="00BC5FB1">
              <w:rPr>
                <w:rFonts w:ascii="Arial" w:hAnsi="Arial" w:cs="Arial"/>
                <w:sz w:val="20"/>
                <w:szCs w:val="20"/>
                <w:shd w:val="clear" w:color="auto" w:fill="FFFFFF"/>
              </w:rPr>
              <w:t xml:space="preserve"> </w:t>
            </w:r>
            <w:proofErr w:type="spellStart"/>
            <w:r w:rsidRPr="00BC5FB1">
              <w:rPr>
                <w:shd w:val="clear" w:color="auto" w:fill="FFFFFF"/>
              </w:rPr>
              <w:t>Richtmann</w:t>
            </w:r>
            <w:proofErr w:type="spellEnd"/>
            <w:r w:rsidRPr="00BC5FB1">
              <w:rPr>
                <w:shd w:val="clear" w:color="auto" w:fill="FFFFFF"/>
              </w:rPr>
              <w:t xml:space="preserve"> Publishing</w:t>
            </w:r>
            <w:r w:rsidRPr="00BC5FB1">
              <w:rPr>
                <w:color w:val="000000"/>
                <w:lang w:val="en-GB"/>
              </w:rPr>
              <w:t>, p. 113, 2019, Italy.</w:t>
            </w:r>
          </w:p>
          <w:p w14:paraId="1A057925" w14:textId="77777777" w:rsidR="00E56518" w:rsidRDefault="00E56518" w:rsidP="00E56518">
            <w:pPr>
              <w:shd w:val="clear" w:color="auto" w:fill="FFFFFF"/>
              <w:jc w:val="both"/>
              <w:rPr>
                <w:color w:val="555555"/>
                <w:shd w:val="clear" w:color="auto" w:fill="FFFFFF"/>
                <w:lang w:val="en-US"/>
              </w:rPr>
            </w:pPr>
            <w:r>
              <w:rPr>
                <w:i/>
                <w:iCs/>
                <w:color w:val="000000"/>
                <w:shd w:val="clear" w:color="auto" w:fill="FFFFFF"/>
                <w:lang w:val="en-US"/>
              </w:rPr>
              <w:t xml:space="preserve">10. </w:t>
            </w:r>
            <w:r w:rsidRPr="00F351E7">
              <w:rPr>
                <w:i/>
                <w:iCs/>
                <w:color w:val="222222"/>
                <w:shd w:val="clear" w:color="auto" w:fill="FFFFFF"/>
                <w:lang w:val="en-US"/>
              </w:rPr>
              <w:t xml:space="preserve">Social evolution in times of Covid 19, between politics, economics and health </w:t>
            </w:r>
            <w:r w:rsidRPr="00F351E7">
              <w:rPr>
                <w:color w:val="222222"/>
                <w:shd w:val="clear" w:color="auto" w:fill="FFFFFF"/>
                <w:lang w:val="en-US"/>
              </w:rPr>
              <w:t xml:space="preserve">in Strategic Management, International Journal of strategic management and decision support system in strategic management, </w:t>
            </w:r>
            <w:r w:rsidRPr="00F351E7">
              <w:rPr>
                <w:color w:val="555555"/>
                <w:shd w:val="clear" w:color="auto" w:fill="FFFFFF"/>
                <w:lang w:val="en-US"/>
              </w:rPr>
              <w:t>ISSN 2334-6191, vol. 26, 1-2021.</w:t>
            </w:r>
          </w:p>
          <w:p w14:paraId="3C3B43A5" w14:textId="77777777" w:rsidR="00E56518" w:rsidRDefault="00E56518" w:rsidP="00E56518">
            <w:pPr>
              <w:shd w:val="clear" w:color="auto" w:fill="FFFFFF"/>
              <w:jc w:val="both"/>
              <w:rPr>
                <w:lang w:val="en-US"/>
              </w:rPr>
            </w:pPr>
            <w:r>
              <w:rPr>
                <w:color w:val="555555"/>
                <w:lang w:val="en-US"/>
              </w:rPr>
              <w:t xml:space="preserve">11. </w:t>
            </w:r>
            <w:r>
              <w:rPr>
                <w:lang w:val="en-US"/>
              </w:rPr>
              <w:t xml:space="preserve">Determining factors of sports dropout of young scholars: a cross-sectional analysis in the </w:t>
            </w:r>
            <w:proofErr w:type="gramStart"/>
            <w:r>
              <w:rPr>
                <w:lang w:val="en-US"/>
              </w:rPr>
              <w:t>8-13 year</w:t>
            </w:r>
            <w:proofErr w:type="gramEnd"/>
            <w:r>
              <w:rPr>
                <w:lang w:val="en-US"/>
              </w:rPr>
              <w:t xml:space="preserve"> age group. with </w:t>
            </w:r>
            <w:r w:rsidRPr="00330922">
              <w:rPr>
                <w:lang w:val="en-US"/>
              </w:rPr>
              <w:t xml:space="preserve">A Pisaniello, A Figus, S Digennaro, D </w:t>
            </w:r>
            <w:proofErr w:type="spellStart"/>
            <w:r w:rsidRPr="00330922">
              <w:rPr>
                <w:lang w:val="en-US"/>
              </w:rPr>
              <w:t>Spulber</w:t>
            </w:r>
            <w:proofErr w:type="spellEnd"/>
            <w:r w:rsidRPr="00330922">
              <w:rPr>
                <w:lang w:val="en-US"/>
              </w:rPr>
              <w:t> - Frontiers in Sports and Active Living</w:t>
            </w:r>
            <w:r>
              <w:rPr>
                <w:lang w:val="en-US"/>
              </w:rPr>
              <w:t xml:space="preserve"> (</w:t>
            </w:r>
            <w:r>
              <w:rPr>
                <w:shd w:val="clear" w:color="auto" w:fill="FFFFFF"/>
                <w:lang w:val="en-US"/>
              </w:rPr>
              <w:t>Classification Scopus Q2), vol. 6</w:t>
            </w:r>
            <w:r w:rsidRPr="00330922">
              <w:rPr>
                <w:lang w:val="en-US"/>
              </w:rPr>
              <w:t>, 2024</w:t>
            </w:r>
            <w:r>
              <w:rPr>
                <w:lang w:val="en-US"/>
              </w:rPr>
              <w:t>.</w:t>
            </w:r>
          </w:p>
          <w:p w14:paraId="339CE0B1" w14:textId="77777777" w:rsidR="00E56518" w:rsidRDefault="00E56518" w:rsidP="00E56518">
            <w:pPr>
              <w:shd w:val="clear" w:color="auto" w:fill="FFFFFF"/>
              <w:jc w:val="both"/>
            </w:pPr>
            <w:r>
              <w:rPr>
                <w:i/>
                <w:lang w:val="en-US"/>
              </w:rPr>
              <w:t xml:space="preserve">12. </w:t>
            </w:r>
            <w:r w:rsidRPr="00F81B1A">
              <w:rPr>
                <w:i/>
                <w:lang w:val="en-GB"/>
              </w:rPr>
              <w:t>D</w:t>
            </w:r>
            <w:proofErr w:type="spellStart"/>
            <w:r w:rsidRPr="00F81B1A">
              <w:rPr>
                <w:i/>
              </w:rPr>
              <w:t>ouble</w:t>
            </w:r>
            <w:proofErr w:type="spellEnd"/>
            <w:r w:rsidRPr="00F81B1A">
              <w:rPr>
                <w:i/>
              </w:rPr>
              <w:t xml:space="preserve"> </w:t>
            </w:r>
            <w:proofErr w:type="spellStart"/>
            <w:r w:rsidRPr="00F81B1A">
              <w:rPr>
                <w:i/>
              </w:rPr>
              <w:t>relationship</w:t>
            </w:r>
            <w:proofErr w:type="spellEnd"/>
            <w:r w:rsidRPr="00F81B1A">
              <w:rPr>
                <w:i/>
              </w:rPr>
              <w:t xml:space="preserve"> </w:t>
            </w:r>
            <w:proofErr w:type="spellStart"/>
            <w:r w:rsidRPr="00F81B1A">
              <w:rPr>
                <w:i/>
              </w:rPr>
              <w:t>between</w:t>
            </w:r>
            <w:proofErr w:type="spellEnd"/>
            <w:r w:rsidRPr="00F81B1A">
              <w:rPr>
                <w:i/>
              </w:rPr>
              <w:t xml:space="preserve"> risk management and CSR in the </w:t>
            </w:r>
            <w:proofErr w:type="spellStart"/>
            <w:r w:rsidRPr="00F81B1A">
              <w:rPr>
                <w:i/>
              </w:rPr>
              <w:t>Italian</w:t>
            </w:r>
            <w:proofErr w:type="spellEnd"/>
            <w:r w:rsidRPr="00F81B1A">
              <w:rPr>
                <w:i/>
              </w:rPr>
              <w:t xml:space="preserve"> Healthcare </w:t>
            </w:r>
            <w:proofErr w:type="spellStart"/>
            <w:r w:rsidRPr="00F81B1A">
              <w:rPr>
                <w:i/>
              </w:rPr>
              <w:t>sector</w:t>
            </w:r>
            <w:proofErr w:type="spellEnd"/>
            <w:r w:rsidRPr="00F81B1A">
              <w:rPr>
                <w:i/>
              </w:rPr>
              <w:t xml:space="preserve">: the case of the Lombard “Health </w:t>
            </w:r>
            <w:proofErr w:type="spellStart"/>
            <w:r w:rsidRPr="00F81B1A">
              <w:rPr>
                <w:i/>
              </w:rPr>
              <w:t>Protection</w:t>
            </w:r>
            <w:proofErr w:type="spellEnd"/>
            <w:r w:rsidRPr="00F81B1A">
              <w:rPr>
                <w:i/>
              </w:rPr>
              <w:t xml:space="preserve"> </w:t>
            </w:r>
            <w:proofErr w:type="spellStart"/>
            <w:r w:rsidRPr="00F81B1A">
              <w:rPr>
                <w:i/>
              </w:rPr>
              <w:t>Agencies</w:t>
            </w:r>
            <w:proofErr w:type="spellEnd"/>
            <w:r w:rsidRPr="00F81B1A">
              <w:rPr>
                <w:i/>
              </w:rPr>
              <w:t xml:space="preserve">” </w:t>
            </w:r>
            <w:r w:rsidRPr="00BC5FB1">
              <w:t>(ATS) with Patrizia Gazzola and Stefano Amelio, WOFRIN, Springer,</w:t>
            </w:r>
            <w:r>
              <w:t xml:space="preserve"> </w:t>
            </w:r>
            <w:r w:rsidRPr="00BC5FB1">
              <w:t>2019.</w:t>
            </w:r>
          </w:p>
          <w:p w14:paraId="4EC7DD42" w14:textId="77777777" w:rsidR="00E56518" w:rsidRDefault="00E56518" w:rsidP="00E56518">
            <w:pPr>
              <w:shd w:val="clear" w:color="auto" w:fill="FFFFFF"/>
              <w:jc w:val="both"/>
              <w:rPr>
                <w:color w:val="000000"/>
                <w:lang w:val="en-US" w:eastAsia="ru-RU"/>
              </w:rPr>
            </w:pPr>
            <w:r>
              <w:rPr>
                <w:i/>
                <w:color w:val="000000"/>
                <w:lang w:eastAsia="ru-RU"/>
              </w:rPr>
              <w:t>13.I</w:t>
            </w:r>
            <w:proofErr w:type="spellStart"/>
            <w:r w:rsidRPr="00F81B1A">
              <w:rPr>
                <w:i/>
                <w:color w:val="000000"/>
                <w:lang w:val="en-US" w:eastAsia="ru-RU"/>
              </w:rPr>
              <w:t>nformation</w:t>
            </w:r>
            <w:proofErr w:type="spellEnd"/>
            <w:r w:rsidRPr="00F81B1A">
              <w:rPr>
                <w:i/>
                <w:color w:val="000000"/>
                <w:lang w:val="en-US" w:eastAsia="ru-RU"/>
              </w:rPr>
              <w:t xml:space="preserve"> society and digital leadership in the </w:t>
            </w:r>
            <w:proofErr w:type="spellStart"/>
            <w:r w:rsidRPr="00F81B1A">
              <w:rPr>
                <w:i/>
                <w:color w:val="000000"/>
                <w:lang w:val="en-US" w:eastAsia="ru-RU"/>
              </w:rPr>
              <w:t>globalised</w:t>
            </w:r>
            <w:proofErr w:type="spellEnd"/>
            <w:r w:rsidRPr="00F81B1A">
              <w:rPr>
                <w:i/>
                <w:color w:val="000000"/>
                <w:lang w:val="en-US" w:eastAsia="ru-RU"/>
              </w:rPr>
              <w:t xml:space="preserve"> educational</w:t>
            </w:r>
            <w:r w:rsidRPr="00F81B1A">
              <w:rPr>
                <w:i/>
                <w:lang w:val="en-US" w:eastAsia="ru-RU"/>
              </w:rPr>
              <w:t xml:space="preserve"> </w:t>
            </w:r>
            <w:r w:rsidRPr="00F81B1A">
              <w:rPr>
                <w:i/>
                <w:color w:val="000000"/>
                <w:lang w:val="en-US" w:eastAsia="ru-RU"/>
              </w:rPr>
              <w:t xml:space="preserve">system: Political approach, </w:t>
            </w:r>
            <w:proofErr w:type="gramStart"/>
            <w:r w:rsidRPr="00F81B1A">
              <w:rPr>
                <w:i/>
                <w:color w:val="000000"/>
                <w:lang w:val="en-US" w:eastAsia="ru-RU"/>
              </w:rPr>
              <w:t xml:space="preserve">in </w:t>
            </w:r>
            <w:r w:rsidRPr="00F81B1A">
              <w:rPr>
                <w:color w:val="000000"/>
                <w:lang w:val="en-US" w:eastAsia="ru-RU"/>
              </w:rPr>
              <w:t xml:space="preserve"> www.europeanproceedings.com</w:t>
            </w:r>
            <w:proofErr w:type="gramEnd"/>
            <w:r>
              <w:rPr>
                <w:color w:val="000000"/>
                <w:lang w:val="en-US" w:eastAsia="ru-RU"/>
              </w:rPr>
              <w:t>,</w:t>
            </w:r>
            <w:r w:rsidRPr="00F81B1A">
              <w:rPr>
                <w:color w:val="000000"/>
                <w:lang w:val="en-US" w:eastAsia="ru-RU"/>
              </w:rPr>
              <w:t xml:space="preserve"> </w:t>
            </w:r>
            <w:r w:rsidRPr="00F81B1A">
              <w:rPr>
                <w:lang w:val="en-US" w:eastAsia="ru-RU"/>
              </w:rPr>
              <w:t>e-ISSN: 2357-</w:t>
            </w:r>
            <w:proofErr w:type="gramStart"/>
            <w:r w:rsidRPr="00F81B1A">
              <w:rPr>
                <w:lang w:val="en-US" w:eastAsia="ru-RU"/>
              </w:rPr>
              <w:t xml:space="preserve">1330 </w:t>
            </w:r>
            <w:r w:rsidRPr="00F81B1A">
              <w:rPr>
                <w:color w:val="000000"/>
                <w:lang w:val="en-US" w:eastAsia="ru-RU"/>
              </w:rPr>
              <w:t>,</w:t>
            </w:r>
            <w:proofErr w:type="gramEnd"/>
            <w:r w:rsidRPr="00F81B1A">
              <w:rPr>
                <w:color w:val="000000"/>
                <w:lang w:val="en-US" w:eastAsia="ru-RU"/>
              </w:rPr>
              <w:t xml:space="preserve"> DOI: 10.15405/epsbs.2021.07.02.3</w:t>
            </w:r>
            <w:r>
              <w:rPr>
                <w:color w:val="000000"/>
                <w:lang w:val="en-US" w:eastAsia="ru-RU"/>
              </w:rPr>
              <w:t>,</w:t>
            </w:r>
            <w:r w:rsidRPr="00F81B1A">
              <w:t xml:space="preserve"> </w:t>
            </w:r>
            <w:r>
              <w:t>pp 18-</w:t>
            </w:r>
            <w:proofErr w:type="gramStart"/>
            <w:r>
              <w:t>24,</w:t>
            </w:r>
            <w:r w:rsidRPr="00BC5FB1">
              <w:t xml:space="preserve"> </w:t>
            </w:r>
            <w:r>
              <w:rPr>
                <w:color w:val="000000"/>
                <w:lang w:val="en-US" w:eastAsia="ru-RU"/>
              </w:rPr>
              <w:t xml:space="preserve"> 2020</w:t>
            </w:r>
            <w:proofErr w:type="gramEnd"/>
          </w:p>
          <w:p w14:paraId="1B0B7B48" w14:textId="77777777" w:rsidR="00E56518" w:rsidRDefault="00E56518" w:rsidP="00E56518">
            <w:pPr>
              <w:shd w:val="clear" w:color="auto" w:fill="FFFFFF"/>
              <w:jc w:val="both"/>
              <w:rPr>
                <w:lang w:val="en-US"/>
              </w:rPr>
            </w:pPr>
            <w:r>
              <w:rPr>
                <w:i/>
                <w:iCs/>
                <w:color w:val="000000"/>
                <w:lang w:val="en-US"/>
              </w:rPr>
              <w:t xml:space="preserve">14. </w:t>
            </w:r>
            <w:r w:rsidRPr="00E26CAD">
              <w:rPr>
                <w:i/>
                <w:iCs/>
                <w:color w:val="000000"/>
                <w:lang w:val="en-US"/>
              </w:rPr>
              <w:t>The importance of Developing Skills and Teachers Training for Leadership</w:t>
            </w:r>
            <w:r>
              <w:rPr>
                <w:color w:val="000000"/>
                <w:lang w:val="en-US"/>
              </w:rPr>
              <w:t>,</w:t>
            </w:r>
            <w:r w:rsidRPr="00E26CAD">
              <w:rPr>
                <w:color w:val="000000"/>
                <w:lang w:val="en-US"/>
              </w:rPr>
              <w:t xml:space="preserve"> </w:t>
            </w:r>
            <w:r>
              <w:rPr>
                <w:color w:val="000000"/>
                <w:lang w:val="en-US"/>
              </w:rPr>
              <w:t xml:space="preserve">with Diana </w:t>
            </w:r>
            <w:proofErr w:type="spellStart"/>
            <w:r>
              <w:rPr>
                <w:color w:val="000000"/>
                <w:lang w:val="en-US"/>
              </w:rPr>
              <w:t>Spulber</w:t>
            </w:r>
            <w:proofErr w:type="spellEnd"/>
            <w:r>
              <w:rPr>
                <w:color w:val="000000"/>
                <w:lang w:val="en-US"/>
              </w:rPr>
              <w:t xml:space="preserve"> in “</w:t>
            </w:r>
            <w:r w:rsidRPr="00E26CAD">
              <w:rPr>
                <w:lang w:val="en-US"/>
              </w:rPr>
              <w:t xml:space="preserve">The importance of developing skills and teachers training </w:t>
            </w:r>
            <w:r w:rsidRPr="00635CF1">
              <w:rPr>
                <w:lang w:val="en-US"/>
              </w:rPr>
              <w:t>for leadership</w:t>
            </w:r>
            <w:r>
              <w:rPr>
                <w:i/>
                <w:iCs/>
                <w:lang w:val="en-US"/>
              </w:rPr>
              <w:t>”</w:t>
            </w:r>
            <w:r>
              <w:rPr>
                <w:lang w:val="en-US"/>
              </w:rPr>
              <w:t xml:space="preserve"> (edited by Betta, Figus, </w:t>
            </w:r>
            <w:proofErr w:type="spellStart"/>
            <w:r>
              <w:rPr>
                <w:lang w:val="en-US"/>
              </w:rPr>
              <w:t>Olkova</w:t>
            </w:r>
            <w:proofErr w:type="spellEnd"/>
            <w:r>
              <w:rPr>
                <w:lang w:val="en-US"/>
              </w:rPr>
              <w:t xml:space="preserve">, </w:t>
            </w:r>
            <w:proofErr w:type="spellStart"/>
            <w:r>
              <w:rPr>
                <w:lang w:val="en-US"/>
              </w:rPr>
              <w:t>Spulber</w:t>
            </w:r>
            <w:proofErr w:type="spellEnd"/>
            <w:r>
              <w:rPr>
                <w:lang w:val="en-US"/>
              </w:rPr>
              <w:t xml:space="preserve">), </w:t>
            </w:r>
            <w:proofErr w:type="spellStart"/>
            <w:r>
              <w:rPr>
                <w:lang w:val="en-US"/>
              </w:rPr>
              <w:t>Kozybayev</w:t>
            </w:r>
            <w:proofErr w:type="spellEnd"/>
            <w:r>
              <w:rPr>
                <w:lang w:val="en-US"/>
              </w:rPr>
              <w:t xml:space="preserve"> University press, ISBN 9786013226620, pp.5-12, May 2023.</w:t>
            </w:r>
          </w:p>
          <w:p w14:paraId="47D67B9D" w14:textId="77777777" w:rsidR="00E56518" w:rsidRDefault="00E56518" w:rsidP="00E56518">
            <w:pPr>
              <w:shd w:val="clear" w:color="auto" w:fill="FFFFFF"/>
              <w:jc w:val="both"/>
              <w:rPr>
                <w:rFonts w:cs="Calibri"/>
              </w:rPr>
            </w:pPr>
            <w:r>
              <w:rPr>
                <w:rFonts w:cs="Calibri"/>
                <w:i/>
                <w:iCs/>
                <w:lang w:val="en-US"/>
              </w:rPr>
              <w:t>15.</w:t>
            </w:r>
            <w:r w:rsidRPr="00F80C19">
              <w:rPr>
                <w:rFonts w:cs="Calibri"/>
                <w:i/>
                <w:iCs/>
              </w:rPr>
              <w:t>Determinanti e motivazioni della partecipazione e dell'abbandono alle attività sportive in Italia</w:t>
            </w:r>
            <w:r w:rsidRPr="00F80C19">
              <w:rPr>
                <w:rFonts w:cs="Calibri"/>
              </w:rPr>
              <w:t xml:space="preserve">, with Pisaniello A. in </w:t>
            </w:r>
            <w:r>
              <w:rPr>
                <w:rFonts w:cs="Calibri"/>
              </w:rPr>
              <w:t>Atti del convegno (</w:t>
            </w:r>
            <w:proofErr w:type="spellStart"/>
            <w:r>
              <w:rPr>
                <w:rFonts w:cs="Calibri"/>
              </w:rPr>
              <w:t>edited</w:t>
            </w:r>
            <w:proofErr w:type="spellEnd"/>
            <w:r>
              <w:rPr>
                <w:rFonts w:cs="Calibri"/>
              </w:rPr>
              <w:t xml:space="preserve"> by Peluso Cassese F.), REN – </w:t>
            </w:r>
            <w:proofErr w:type="spellStart"/>
            <w:r>
              <w:rPr>
                <w:rFonts w:cs="Calibri"/>
              </w:rPr>
              <w:t>Research</w:t>
            </w:r>
            <w:proofErr w:type="spellEnd"/>
            <w:r>
              <w:rPr>
                <w:rFonts w:cs="Calibri"/>
              </w:rPr>
              <w:t xml:space="preserve"> Educational </w:t>
            </w:r>
            <w:proofErr w:type="spellStart"/>
            <w:r>
              <w:rPr>
                <w:rFonts w:cs="Calibri"/>
              </w:rPr>
              <w:t>Neuroscience</w:t>
            </w:r>
            <w:proofErr w:type="spellEnd"/>
            <w:r w:rsidRPr="00F80C19">
              <w:rPr>
                <w:rFonts w:cs="Calibri"/>
              </w:rPr>
              <w:t xml:space="preserve"> 2023, </w:t>
            </w:r>
            <w:r>
              <w:rPr>
                <w:rFonts w:cs="Calibri"/>
              </w:rPr>
              <w:t xml:space="preserve">Edizioni universitarie romane, </w:t>
            </w:r>
            <w:r w:rsidRPr="00F80C19">
              <w:rPr>
                <w:rFonts w:cs="Calibri"/>
              </w:rPr>
              <w:t>2023.</w:t>
            </w:r>
          </w:p>
          <w:p w14:paraId="169D9639" w14:textId="393757E6" w:rsidR="00E56518" w:rsidRPr="00E56518" w:rsidRDefault="00E56518" w:rsidP="00E56518">
            <w:pPr>
              <w:shd w:val="clear" w:color="auto" w:fill="FFFFFF"/>
              <w:jc w:val="both"/>
              <w:rPr>
                <w:lang w:val="en-GB"/>
              </w:rPr>
            </w:pPr>
            <w:r>
              <w:rPr>
                <w:rFonts w:cs="Calibri"/>
                <w:i/>
                <w:iCs/>
                <w:color w:val="000000"/>
              </w:rPr>
              <w:t xml:space="preserve">16. </w:t>
            </w:r>
            <w:r>
              <w:rPr>
                <w:i/>
                <w:iCs/>
                <w:color w:val="000000"/>
                <w:lang w:val="en-US"/>
              </w:rPr>
              <w:t xml:space="preserve">The competence </w:t>
            </w:r>
            <w:r w:rsidRPr="00E26CAD">
              <w:rPr>
                <w:i/>
                <w:iCs/>
                <w:color w:val="000000"/>
                <w:lang w:val="en-US"/>
              </w:rPr>
              <w:t>L</w:t>
            </w:r>
            <w:r>
              <w:rPr>
                <w:i/>
                <w:iCs/>
                <w:color w:val="000000"/>
                <w:lang w:val="en-US"/>
              </w:rPr>
              <w:t xml:space="preserve">eadership, from philosophy and political direction and the challenger in education with Diana </w:t>
            </w:r>
            <w:proofErr w:type="spellStart"/>
            <w:r>
              <w:rPr>
                <w:i/>
                <w:iCs/>
                <w:color w:val="000000"/>
                <w:lang w:val="en-US"/>
              </w:rPr>
              <w:t>Spulber</w:t>
            </w:r>
            <w:proofErr w:type="spellEnd"/>
            <w:r>
              <w:rPr>
                <w:color w:val="000000"/>
                <w:lang w:val="en-US"/>
              </w:rPr>
              <w:t xml:space="preserve">, </w:t>
            </w:r>
            <w:r w:rsidRPr="00110BFC">
              <w:rPr>
                <w:lang w:val="en-US"/>
              </w:rPr>
              <w:t>on Geopolitical, Social Security and Freedom Journal 5 (</w:t>
            </w:r>
            <w:r>
              <w:rPr>
                <w:lang w:val="en-US"/>
              </w:rPr>
              <w:t>2</w:t>
            </w:r>
            <w:r w:rsidRPr="00110BFC">
              <w:rPr>
                <w:lang w:val="en-US"/>
              </w:rPr>
              <w:t xml:space="preserve">), </w:t>
            </w:r>
            <w:r w:rsidRPr="00110BFC">
              <w:rPr>
                <w:color w:val="000000"/>
                <w:lang w:val="en-GB"/>
              </w:rPr>
              <w:t>GSSFJ</w:t>
            </w:r>
            <w:r w:rsidRPr="00110BFC">
              <w:rPr>
                <w:shd w:val="clear" w:color="auto" w:fill="FFFFFF"/>
                <w:lang w:val="en-US"/>
              </w:rPr>
              <w:t xml:space="preserve">, </w:t>
            </w:r>
            <w:proofErr w:type="spellStart"/>
            <w:r w:rsidRPr="00110BFC">
              <w:rPr>
                <w:shd w:val="clear" w:color="auto" w:fill="FFFFFF"/>
                <w:lang w:val="en-US"/>
              </w:rPr>
              <w:t>Sciendo</w:t>
            </w:r>
            <w:proofErr w:type="spellEnd"/>
            <w:r w:rsidRPr="00110BFC">
              <w:rPr>
                <w:shd w:val="clear" w:color="auto" w:fill="FFFFFF"/>
                <w:lang w:val="en-US"/>
              </w:rPr>
              <w:t xml:space="preserve"> Edit. Vol. </w:t>
            </w:r>
            <w:r>
              <w:rPr>
                <w:shd w:val="clear" w:color="auto" w:fill="FFFFFF"/>
                <w:lang w:val="en-US"/>
              </w:rPr>
              <w:t>5</w:t>
            </w:r>
            <w:r w:rsidRPr="00110BFC">
              <w:rPr>
                <w:shd w:val="clear" w:color="auto" w:fill="FFFFFF"/>
                <w:lang w:val="en-US"/>
              </w:rPr>
              <w:t>, issue</w:t>
            </w:r>
            <w:r>
              <w:rPr>
                <w:shd w:val="clear" w:color="auto" w:fill="FFFFFF"/>
                <w:lang w:val="en-US"/>
              </w:rPr>
              <w:t xml:space="preserve"> 2, </w:t>
            </w:r>
            <w:r>
              <w:rPr>
                <w:lang w:val="en-US"/>
              </w:rPr>
              <w:t>2022.</w:t>
            </w:r>
          </w:p>
          <w:p w14:paraId="1FDC2C8F" w14:textId="77777777" w:rsidR="00E56518" w:rsidRPr="00376D15" w:rsidRDefault="00E56518" w:rsidP="005E30F5">
            <w:pPr>
              <w:shd w:val="clear" w:color="auto" w:fill="FFFFFF"/>
              <w:jc w:val="both"/>
              <w:rPr>
                <w:color w:val="2E74B5" w:themeColor="accent1" w:themeShade="BF"/>
                <w:lang w:val="en-GB"/>
              </w:rPr>
            </w:pPr>
          </w:p>
        </w:tc>
      </w:tr>
    </w:tbl>
    <w:p w14:paraId="6F220978" w14:textId="77777777" w:rsidR="006A5B91" w:rsidRPr="00FD37C9" w:rsidRDefault="006A5B91" w:rsidP="005E30F5">
      <w:pPr>
        <w:spacing w:after="0" w:line="240" w:lineRule="auto"/>
        <w:rPr>
          <w:b/>
          <w:color w:val="2E74B5" w:themeColor="accent1" w:themeShade="BF"/>
          <w:sz w:val="10"/>
          <w:szCs w:val="10"/>
          <w:lang w:val="en-GB"/>
        </w:rPr>
      </w:pPr>
    </w:p>
    <w:p w14:paraId="07D237A9" w14:textId="77777777" w:rsidR="006A5B91" w:rsidRPr="00376D15" w:rsidRDefault="006A5B91" w:rsidP="005E30F5">
      <w:pPr>
        <w:jc w:val="center"/>
        <w:rPr>
          <w:b/>
          <w:color w:val="2E74B5" w:themeColor="accent1" w:themeShade="BF"/>
        </w:rPr>
      </w:pPr>
      <w:r w:rsidRPr="00376D15">
        <w:rPr>
          <w:b/>
          <w:color w:val="2E74B5" w:themeColor="accent1" w:themeShade="BF"/>
        </w:rPr>
        <w:t>INTERNATIONAL PROJECTS EXPERIENCE</w:t>
      </w:r>
    </w:p>
    <w:tbl>
      <w:tblPr>
        <w:tblStyle w:val="Grigliatabella"/>
        <w:tblW w:w="10768" w:type="dxa"/>
        <w:tblLook w:val="04A0" w:firstRow="1" w:lastRow="0" w:firstColumn="1" w:lastColumn="0" w:noHBand="0" w:noVBand="1"/>
      </w:tblPr>
      <w:tblGrid>
        <w:gridCol w:w="10768"/>
      </w:tblGrid>
      <w:tr w:rsidR="005E30F5" w:rsidRPr="005E30F5" w14:paraId="1E245A23" w14:textId="77777777" w:rsidTr="005E30F5">
        <w:tc>
          <w:tcPr>
            <w:tcW w:w="10768" w:type="dxa"/>
          </w:tcPr>
          <w:p w14:paraId="26ADF3A3" w14:textId="77777777" w:rsidR="00376D15" w:rsidRPr="005E30F5" w:rsidRDefault="00376D15" w:rsidP="005E30F5">
            <w:pPr>
              <w:pStyle w:val="Paragrafoelenco"/>
              <w:numPr>
                <w:ilvl w:val="0"/>
                <w:numId w:val="1"/>
              </w:numPr>
              <w:rPr>
                <w:lang w:val="en-GB"/>
              </w:rPr>
            </w:pPr>
            <w:r w:rsidRPr="005E30F5">
              <w:rPr>
                <w:lang w:val="en-GB"/>
              </w:rPr>
              <w:t>Contact person for University of Genova in Join European Project Tempus Meda JEP 32128-2004, University of Damascus, Syrie, 2005-2008;</w:t>
            </w:r>
          </w:p>
          <w:p w14:paraId="7A687241" w14:textId="77777777" w:rsidR="00376D15" w:rsidRPr="005E30F5" w:rsidRDefault="005E30F5" w:rsidP="005E30F5">
            <w:pPr>
              <w:pStyle w:val="Paragrafoelenco"/>
              <w:numPr>
                <w:ilvl w:val="0"/>
                <w:numId w:val="1"/>
              </w:numPr>
              <w:rPr>
                <w:lang w:val="en-GB"/>
              </w:rPr>
            </w:pPr>
            <w:proofErr w:type="spellStart"/>
            <w:r>
              <w:rPr>
                <w:lang w:val="en-GB"/>
              </w:rPr>
              <w:t>Grantholder</w:t>
            </w:r>
            <w:proofErr w:type="spellEnd"/>
            <w:r>
              <w:rPr>
                <w:lang w:val="en-GB"/>
              </w:rPr>
              <w:t xml:space="preserve"> of EU</w:t>
            </w:r>
            <w:r w:rsidR="00376D15" w:rsidRPr="005E30F5">
              <w:rPr>
                <w:lang w:val="en-GB"/>
              </w:rPr>
              <w:t xml:space="preserve"> Tempus </w:t>
            </w:r>
            <w:proofErr w:type="spellStart"/>
            <w:r w:rsidR="00376D15" w:rsidRPr="005E30F5">
              <w:rPr>
                <w:lang w:val="en-GB"/>
              </w:rPr>
              <w:t>Tacis</w:t>
            </w:r>
            <w:proofErr w:type="spellEnd"/>
            <w:r w:rsidR="00376D15" w:rsidRPr="005E30F5">
              <w:rPr>
                <w:lang w:val="en-GB"/>
              </w:rPr>
              <w:t xml:space="preserve"> project Structural Measures n° T065A06 Bologna promoters, Moldova, 2006-2007, contractor Link Campus University of Malta;</w:t>
            </w:r>
          </w:p>
          <w:p w14:paraId="13F410BE" w14:textId="77777777" w:rsidR="00376D15" w:rsidRPr="005E30F5" w:rsidRDefault="00376D15" w:rsidP="005E30F5">
            <w:pPr>
              <w:pStyle w:val="Paragrafoelenco"/>
              <w:numPr>
                <w:ilvl w:val="0"/>
                <w:numId w:val="1"/>
              </w:numPr>
              <w:rPr>
                <w:lang w:val="en-GB"/>
              </w:rPr>
            </w:pPr>
            <w:r w:rsidRPr="005E30F5">
              <w:rPr>
                <w:lang w:val="en-GB"/>
              </w:rPr>
              <w:t xml:space="preserve">Tempus </w:t>
            </w:r>
            <w:proofErr w:type="spellStart"/>
            <w:r w:rsidRPr="005E30F5">
              <w:rPr>
                <w:lang w:val="en-GB"/>
              </w:rPr>
              <w:t>Tacis</w:t>
            </w:r>
            <w:proofErr w:type="spellEnd"/>
            <w:r w:rsidRPr="005E30F5">
              <w:rPr>
                <w:lang w:val="en-GB"/>
              </w:rPr>
              <w:t>, Environmental Management project, Alicante, Spain, 2006;</w:t>
            </w:r>
          </w:p>
          <w:p w14:paraId="1532F682" w14:textId="77777777" w:rsidR="00376D15" w:rsidRPr="005E30F5" w:rsidRDefault="00376D15" w:rsidP="005E30F5">
            <w:pPr>
              <w:pStyle w:val="Paragrafoelenco"/>
              <w:numPr>
                <w:ilvl w:val="0"/>
                <w:numId w:val="1"/>
              </w:numPr>
              <w:rPr>
                <w:lang w:val="en-GB"/>
              </w:rPr>
            </w:pPr>
            <w:proofErr w:type="spellStart"/>
            <w:r w:rsidRPr="005E30F5">
              <w:rPr>
                <w:lang w:val="en-GB"/>
              </w:rPr>
              <w:t>Grantholder</w:t>
            </w:r>
            <w:proofErr w:type="spellEnd"/>
            <w:r w:rsidRPr="005E30F5">
              <w:rPr>
                <w:lang w:val="en-GB"/>
              </w:rPr>
              <w:t xml:space="preserve"> Tempus </w:t>
            </w:r>
            <w:proofErr w:type="spellStart"/>
            <w:r w:rsidRPr="005E30F5">
              <w:rPr>
                <w:lang w:val="en-GB"/>
              </w:rPr>
              <w:t>Tacis</w:t>
            </w:r>
            <w:proofErr w:type="spellEnd"/>
            <w:r w:rsidRPr="005E30F5">
              <w:rPr>
                <w:lang w:val="en-GB"/>
              </w:rPr>
              <w:t xml:space="preserve"> SCM T079B06 Qualification, Moldova, 2007-2008;</w:t>
            </w:r>
            <w:r w:rsidR="006F41C7" w:rsidRPr="005E30F5">
              <w:rPr>
                <w:lang w:val="en-GB"/>
              </w:rPr>
              <w:t xml:space="preserve">Contact person for LCUM Tempus </w:t>
            </w:r>
            <w:proofErr w:type="spellStart"/>
            <w:r w:rsidR="006F41C7" w:rsidRPr="005E30F5">
              <w:rPr>
                <w:lang w:val="en-GB"/>
              </w:rPr>
              <w:t>Tacis</w:t>
            </w:r>
            <w:proofErr w:type="spellEnd"/>
            <w:r w:rsidR="006F41C7" w:rsidRPr="005E30F5">
              <w:rPr>
                <w:lang w:val="en-GB"/>
              </w:rPr>
              <w:t xml:space="preserve"> JEP 27122-2006, Ferg</w:t>
            </w:r>
            <w:r w:rsidRPr="005E30F5">
              <w:rPr>
                <w:lang w:val="en-GB"/>
              </w:rPr>
              <w:t>ana, Uzbekistan, 2007-2009;</w:t>
            </w:r>
          </w:p>
          <w:p w14:paraId="5F279684" w14:textId="77777777" w:rsidR="00376D15" w:rsidRPr="005E30F5" w:rsidRDefault="006F41C7" w:rsidP="005E30F5">
            <w:pPr>
              <w:pStyle w:val="Paragrafoelenco"/>
              <w:numPr>
                <w:ilvl w:val="0"/>
                <w:numId w:val="1"/>
              </w:numPr>
              <w:rPr>
                <w:lang w:val="en-GB"/>
              </w:rPr>
            </w:pPr>
            <w:r w:rsidRPr="005E30F5">
              <w:rPr>
                <w:lang w:val="en-GB"/>
              </w:rPr>
              <w:t xml:space="preserve">Contact person for LCUM Tempus </w:t>
            </w:r>
            <w:proofErr w:type="spellStart"/>
            <w:r w:rsidRPr="005E30F5">
              <w:rPr>
                <w:lang w:val="en-GB"/>
              </w:rPr>
              <w:t>Tacis</w:t>
            </w:r>
            <w:proofErr w:type="spellEnd"/>
            <w:r w:rsidRPr="005E30F5">
              <w:rPr>
                <w:lang w:val="en-GB"/>
              </w:rPr>
              <w:t xml:space="preserve"> SCM T059B06 Bologna p</w:t>
            </w:r>
            <w:r w:rsidR="00376D15" w:rsidRPr="005E30F5">
              <w:rPr>
                <w:lang w:val="en-GB"/>
              </w:rPr>
              <w:t>rocess, Russia, 2007-2008;</w:t>
            </w:r>
          </w:p>
          <w:p w14:paraId="0CC63620" w14:textId="77777777" w:rsidR="006A5B91" w:rsidRPr="005E30F5" w:rsidRDefault="006F41C7" w:rsidP="005E30F5">
            <w:pPr>
              <w:pStyle w:val="Paragrafoelenco"/>
              <w:numPr>
                <w:ilvl w:val="0"/>
                <w:numId w:val="1"/>
              </w:numPr>
              <w:rPr>
                <w:lang w:val="en-GB"/>
              </w:rPr>
            </w:pPr>
            <w:r w:rsidRPr="005E30F5">
              <w:rPr>
                <w:lang w:val="en-GB"/>
              </w:rPr>
              <w:t xml:space="preserve">Contact person for LCUM Tempus </w:t>
            </w:r>
            <w:proofErr w:type="spellStart"/>
            <w:r w:rsidRPr="005E30F5">
              <w:rPr>
                <w:lang w:val="en-GB"/>
              </w:rPr>
              <w:t>Tacis</w:t>
            </w:r>
            <w:proofErr w:type="spellEnd"/>
            <w:r w:rsidRPr="005E30F5">
              <w:rPr>
                <w:lang w:val="en-GB"/>
              </w:rPr>
              <w:t xml:space="preserve"> JEP 27107-2006,</w:t>
            </w:r>
          </w:p>
          <w:p w14:paraId="2B1719E1" w14:textId="77777777" w:rsidR="00376D15" w:rsidRPr="005E30F5" w:rsidRDefault="00376D15" w:rsidP="005E30F5">
            <w:pPr>
              <w:pStyle w:val="Paragrafoelenco"/>
              <w:numPr>
                <w:ilvl w:val="0"/>
                <w:numId w:val="1"/>
              </w:numPr>
              <w:spacing w:after="160" w:line="259" w:lineRule="auto"/>
              <w:jc w:val="both"/>
              <w:rPr>
                <w:lang w:val="en-GB"/>
              </w:rPr>
            </w:pPr>
            <w:r w:rsidRPr="005E30F5">
              <w:rPr>
                <w:lang w:val="en-GB"/>
              </w:rPr>
              <w:t xml:space="preserve">Project TEMPUS CTAE JPHES544517 coordinated by University of Genova (with </w:t>
            </w:r>
            <w:proofErr w:type="spellStart"/>
            <w:r w:rsidRPr="005E30F5">
              <w:rPr>
                <w:lang w:val="en-GB"/>
              </w:rPr>
              <w:t>Ukr</w:t>
            </w:r>
            <w:proofErr w:type="spellEnd"/>
            <w:r w:rsidRPr="005E30F5">
              <w:rPr>
                <w:lang w:val="en-GB"/>
              </w:rPr>
              <w:t>, Ru). 2014-2017;</w:t>
            </w:r>
          </w:p>
          <w:p w14:paraId="3048A5AE" w14:textId="77777777" w:rsidR="00376D15" w:rsidRPr="005E30F5" w:rsidRDefault="00376D15" w:rsidP="005E30F5">
            <w:pPr>
              <w:pStyle w:val="Paragrafoelenco"/>
              <w:numPr>
                <w:ilvl w:val="0"/>
                <w:numId w:val="1"/>
              </w:numPr>
              <w:spacing w:after="160" w:line="259" w:lineRule="auto"/>
              <w:jc w:val="both"/>
              <w:rPr>
                <w:lang w:val="en-GB"/>
              </w:rPr>
            </w:pPr>
            <w:r w:rsidRPr="005E30F5">
              <w:rPr>
                <w:lang w:val="en-GB"/>
              </w:rPr>
              <w:t xml:space="preserve">Erasmus + project </w:t>
            </w:r>
            <w:proofErr w:type="spellStart"/>
            <w:r w:rsidRPr="005E30F5">
              <w:rPr>
                <w:lang w:val="en-GB"/>
              </w:rPr>
              <w:t>Tunasia</w:t>
            </w:r>
            <w:proofErr w:type="spellEnd"/>
            <w:r w:rsidRPr="005E30F5">
              <w:rPr>
                <w:lang w:val="en-GB"/>
              </w:rPr>
              <w:t xml:space="preserve"> (Vietnam and Thailand) LCU coordinator, 2017/2020;</w:t>
            </w:r>
          </w:p>
          <w:p w14:paraId="6E08CEFD" w14:textId="5649F5F5" w:rsidR="00376D15" w:rsidRPr="005E30F5" w:rsidRDefault="00376D15" w:rsidP="005E30F5">
            <w:pPr>
              <w:pStyle w:val="Paragrafoelenco"/>
              <w:numPr>
                <w:ilvl w:val="0"/>
                <w:numId w:val="1"/>
              </w:numPr>
              <w:spacing w:after="160" w:line="259" w:lineRule="auto"/>
              <w:jc w:val="both"/>
              <w:rPr>
                <w:lang w:val="en-GB"/>
              </w:rPr>
            </w:pPr>
            <w:r w:rsidRPr="005E30F5">
              <w:rPr>
                <w:lang w:val="en-GB"/>
              </w:rPr>
              <w:t xml:space="preserve">Director MIDAS project, Moldova, NATO, 2017/2019 </w:t>
            </w:r>
            <w:r w:rsidR="00E56518">
              <w:rPr>
                <w:lang w:val="en-GB"/>
              </w:rPr>
              <w:t>and</w:t>
            </w:r>
            <w:r w:rsidRPr="005E30F5">
              <w:rPr>
                <w:lang w:val="en-GB"/>
              </w:rPr>
              <w:t xml:space="preserve"> Witness Project NATO, 2017/2019, </w:t>
            </w:r>
            <w:proofErr w:type="gramStart"/>
            <w:r w:rsidRPr="005E30F5">
              <w:rPr>
                <w:lang w:val="en-GB"/>
              </w:rPr>
              <w:t>Moldova;</w:t>
            </w:r>
            <w:proofErr w:type="gramEnd"/>
          </w:p>
          <w:p w14:paraId="69E49777" w14:textId="77777777" w:rsidR="00376D15" w:rsidRDefault="00376D15" w:rsidP="005E30F5">
            <w:pPr>
              <w:pStyle w:val="Paragrafoelenco"/>
              <w:numPr>
                <w:ilvl w:val="0"/>
                <w:numId w:val="1"/>
              </w:numPr>
              <w:jc w:val="both"/>
            </w:pPr>
            <w:r w:rsidRPr="005E30F5">
              <w:t>ERASMUS KA107 (IMI-NOVA Mo</w:t>
            </w:r>
            <w:r w:rsidR="005E30F5" w:rsidRPr="005E30F5">
              <w:t>ldova) with Insubria Uni (</w:t>
            </w:r>
            <w:proofErr w:type="spellStart"/>
            <w:r w:rsidR="005E30F5" w:rsidRPr="005E30F5">
              <w:t>Italy</w:t>
            </w:r>
            <w:proofErr w:type="spellEnd"/>
            <w:r w:rsidR="005E30F5" w:rsidRPr="005E30F5">
              <w:t>), Genova Uni</w:t>
            </w:r>
            <w:r w:rsidRPr="005E30F5">
              <w:t xml:space="preserve"> (</w:t>
            </w:r>
            <w:proofErr w:type="spellStart"/>
            <w:r w:rsidRPr="005E30F5">
              <w:t>Italy</w:t>
            </w:r>
            <w:proofErr w:type="spellEnd"/>
            <w:r w:rsidRPr="005E30F5">
              <w:t>), ROMAT</w:t>
            </w:r>
            <w:r w:rsidR="00FD37C9">
              <w:t>RE (</w:t>
            </w:r>
            <w:proofErr w:type="spellStart"/>
            <w:r w:rsidR="00FD37C9">
              <w:t>Italy</w:t>
            </w:r>
            <w:proofErr w:type="spellEnd"/>
            <w:r w:rsidR="00FD37C9">
              <w:t>), SAN Poland</w:t>
            </w:r>
            <w:r w:rsidRPr="005E30F5">
              <w:t>.</w:t>
            </w:r>
          </w:p>
          <w:p w14:paraId="317F4DD7" w14:textId="22A6EFB7" w:rsidR="00E56518" w:rsidRDefault="00E56518" w:rsidP="005E30F5">
            <w:pPr>
              <w:pStyle w:val="Paragrafoelenco"/>
              <w:numPr>
                <w:ilvl w:val="0"/>
                <w:numId w:val="1"/>
              </w:numPr>
              <w:jc w:val="both"/>
            </w:pPr>
            <w:r>
              <w:t>Coordinator Erasmus+ DESTT www.destt.com</w:t>
            </w:r>
          </w:p>
          <w:p w14:paraId="2C4DC6DE" w14:textId="21E35C43" w:rsidR="00E56518" w:rsidRDefault="00E56518" w:rsidP="005E30F5">
            <w:pPr>
              <w:pStyle w:val="Paragrafoelenco"/>
              <w:numPr>
                <w:ilvl w:val="0"/>
                <w:numId w:val="1"/>
              </w:numPr>
              <w:jc w:val="both"/>
            </w:pPr>
            <w:r>
              <w:t xml:space="preserve">Erasmus+ VET TECGREMED </w:t>
            </w:r>
            <w:hyperlink r:id="rId10" w:history="1">
              <w:r w:rsidRPr="00D240B2">
                <w:rPr>
                  <w:rStyle w:val="Collegamentoipertestuale"/>
                </w:rPr>
                <w:t>www.tecgremed.com</w:t>
              </w:r>
            </w:hyperlink>
          </w:p>
          <w:p w14:paraId="2438CC0F" w14:textId="77777777" w:rsidR="00E56518" w:rsidRDefault="00021A2B" w:rsidP="005E30F5">
            <w:pPr>
              <w:pStyle w:val="Paragrafoelenco"/>
              <w:numPr>
                <w:ilvl w:val="0"/>
                <w:numId w:val="1"/>
              </w:numPr>
              <w:jc w:val="both"/>
            </w:pPr>
            <w:r>
              <w:t xml:space="preserve">Erasmus- Ka 171 with IT Astana University and </w:t>
            </w:r>
            <w:proofErr w:type="spellStart"/>
            <w:r>
              <w:t>Sarsen</w:t>
            </w:r>
            <w:proofErr w:type="spellEnd"/>
            <w:r>
              <w:t xml:space="preserve"> </w:t>
            </w:r>
            <w:proofErr w:type="spellStart"/>
            <w:r>
              <w:t>Amanzholov</w:t>
            </w:r>
            <w:proofErr w:type="spellEnd"/>
            <w:r>
              <w:t xml:space="preserve"> University, coordinator 2024-2027.</w:t>
            </w:r>
          </w:p>
          <w:p w14:paraId="62F9A463" w14:textId="65F3D3B4" w:rsidR="00021A2B" w:rsidRPr="005E30F5" w:rsidRDefault="00021A2B" w:rsidP="005E30F5">
            <w:pPr>
              <w:pStyle w:val="Paragrafoelenco"/>
              <w:numPr>
                <w:ilvl w:val="0"/>
                <w:numId w:val="1"/>
              </w:numPr>
              <w:jc w:val="both"/>
            </w:pPr>
            <w:r>
              <w:t xml:space="preserve">LESLIE Erasmus+ Ka2 key 1 with Uzbekistan and Kazakhstan, 2024/2025 contact </w:t>
            </w:r>
            <w:proofErr w:type="spellStart"/>
            <w:r>
              <w:t>person</w:t>
            </w:r>
            <w:proofErr w:type="spellEnd"/>
            <w:r>
              <w:t xml:space="preserve"> UNICAS.</w:t>
            </w:r>
          </w:p>
        </w:tc>
      </w:tr>
    </w:tbl>
    <w:p w14:paraId="73A2A0F7" w14:textId="77777777" w:rsidR="006A5B91" w:rsidRPr="005E30F5" w:rsidRDefault="006A5B91" w:rsidP="00FD37C9">
      <w:pPr>
        <w:rPr>
          <w:b/>
        </w:rPr>
      </w:pPr>
    </w:p>
    <w:sectPr w:rsidR="006A5B91" w:rsidRPr="005E30F5" w:rsidSect="005E30F5">
      <w:footerReference w:type="even" r:id="rId11"/>
      <w:footerReference w:type="default" r:id="rId12"/>
      <w:pgSz w:w="11906" w:h="16838"/>
      <w:pgMar w:top="0" w:right="707" w:bottom="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46A3B" w14:textId="77777777" w:rsidR="00552DB4" w:rsidRDefault="00552DB4" w:rsidP="00021A2B">
      <w:pPr>
        <w:spacing w:after="0" w:line="240" w:lineRule="auto"/>
      </w:pPr>
      <w:r>
        <w:separator/>
      </w:r>
    </w:p>
  </w:endnote>
  <w:endnote w:type="continuationSeparator" w:id="0">
    <w:p w14:paraId="6F2EBE5C" w14:textId="77777777" w:rsidR="00552DB4" w:rsidRDefault="00552DB4" w:rsidP="0002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276304057"/>
      <w:docPartObj>
        <w:docPartGallery w:val="Page Numbers (Bottom of Page)"/>
        <w:docPartUnique/>
      </w:docPartObj>
    </w:sdtPr>
    <w:sdtContent>
      <w:p w14:paraId="1425A3BD" w14:textId="499E63EB" w:rsidR="00021A2B" w:rsidRDefault="00021A2B" w:rsidP="00D240B2">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p w14:paraId="4256B9E0" w14:textId="77777777" w:rsidR="00021A2B" w:rsidRDefault="00021A2B" w:rsidP="00021A2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599682389"/>
      <w:docPartObj>
        <w:docPartGallery w:val="Page Numbers (Bottom of Page)"/>
        <w:docPartUnique/>
      </w:docPartObj>
    </w:sdtPr>
    <w:sdtContent>
      <w:p w14:paraId="0697CA89" w14:textId="0CDEF86D" w:rsidR="00021A2B" w:rsidRDefault="00021A2B" w:rsidP="00D240B2">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5CF38DE7" w14:textId="77777777" w:rsidR="00021A2B" w:rsidRDefault="00021A2B" w:rsidP="00021A2B">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B4AB8" w14:textId="77777777" w:rsidR="00552DB4" w:rsidRDefault="00552DB4" w:rsidP="00021A2B">
      <w:pPr>
        <w:spacing w:after="0" w:line="240" w:lineRule="auto"/>
      </w:pPr>
      <w:r>
        <w:separator/>
      </w:r>
    </w:p>
  </w:footnote>
  <w:footnote w:type="continuationSeparator" w:id="0">
    <w:p w14:paraId="332F54AA" w14:textId="77777777" w:rsidR="00552DB4" w:rsidRDefault="00552DB4" w:rsidP="00021A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28"/>
    <w:lvl w:ilvl="0">
      <w:start w:val="1"/>
      <w:numFmt w:val="decimal"/>
      <w:lvlText w:val="%1."/>
      <w:lvlJc w:val="left"/>
      <w:pPr>
        <w:tabs>
          <w:tab w:val="num" w:pos="0"/>
        </w:tabs>
        <w:ind w:left="644" w:hanging="360"/>
      </w:pPr>
      <w:rPr>
        <w:color w:val="000000"/>
        <w:sz w:val="22"/>
        <w:szCs w:val="22"/>
        <w:lang w:val="en-GB"/>
      </w:rPr>
    </w:lvl>
  </w:abstractNum>
  <w:abstractNum w:abstractNumId="1" w15:restartNumberingAfterBreak="0">
    <w:nsid w:val="0000000A"/>
    <w:multiLevelType w:val="multilevel"/>
    <w:tmpl w:val="0000000A"/>
    <w:lvl w:ilvl="0">
      <w:start w:val="1"/>
      <w:numFmt w:val="decimal"/>
      <w:lvlText w:val="%1."/>
      <w:lvlJc w:val="left"/>
      <w:pPr>
        <w:tabs>
          <w:tab w:val="num" w:pos="1429"/>
        </w:tabs>
        <w:ind w:left="142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149"/>
        </w:tabs>
        <w:ind w:left="2149" w:hanging="360"/>
      </w:pPr>
    </w:lvl>
    <w:lvl w:ilvl="3">
      <w:start w:val="1"/>
      <w:numFmt w:val="decimal"/>
      <w:lvlText w:val="%4."/>
      <w:lvlJc w:val="left"/>
      <w:pPr>
        <w:tabs>
          <w:tab w:val="num" w:pos="2509"/>
        </w:tabs>
        <w:ind w:left="2509" w:hanging="360"/>
      </w:pPr>
    </w:lvl>
    <w:lvl w:ilvl="4">
      <w:start w:val="1"/>
      <w:numFmt w:val="decimal"/>
      <w:lvlText w:val="%5."/>
      <w:lvlJc w:val="left"/>
      <w:pPr>
        <w:tabs>
          <w:tab w:val="num" w:pos="2869"/>
        </w:tabs>
        <w:ind w:left="2869" w:hanging="360"/>
      </w:pPr>
    </w:lvl>
    <w:lvl w:ilvl="5">
      <w:start w:val="1"/>
      <w:numFmt w:val="decimal"/>
      <w:lvlText w:val="%6."/>
      <w:lvlJc w:val="left"/>
      <w:pPr>
        <w:tabs>
          <w:tab w:val="num" w:pos="3229"/>
        </w:tabs>
        <w:ind w:left="3229" w:hanging="360"/>
      </w:pPr>
    </w:lvl>
    <w:lvl w:ilvl="6">
      <w:start w:val="1"/>
      <w:numFmt w:val="decimal"/>
      <w:lvlText w:val="%7."/>
      <w:lvlJc w:val="left"/>
      <w:pPr>
        <w:tabs>
          <w:tab w:val="num" w:pos="3589"/>
        </w:tabs>
        <w:ind w:left="3589" w:hanging="360"/>
      </w:pPr>
    </w:lvl>
    <w:lvl w:ilvl="7">
      <w:start w:val="1"/>
      <w:numFmt w:val="decimal"/>
      <w:lvlText w:val="%8."/>
      <w:lvlJc w:val="left"/>
      <w:pPr>
        <w:tabs>
          <w:tab w:val="num" w:pos="3949"/>
        </w:tabs>
        <w:ind w:left="3949" w:hanging="360"/>
      </w:pPr>
    </w:lvl>
    <w:lvl w:ilvl="8">
      <w:start w:val="1"/>
      <w:numFmt w:val="decimal"/>
      <w:lvlText w:val="%9."/>
      <w:lvlJc w:val="left"/>
      <w:pPr>
        <w:tabs>
          <w:tab w:val="num" w:pos="4309"/>
        </w:tabs>
        <w:ind w:left="4309" w:hanging="360"/>
      </w:pPr>
    </w:lvl>
  </w:abstractNum>
  <w:abstractNum w:abstractNumId="2" w15:restartNumberingAfterBreak="0">
    <w:nsid w:val="0000000B"/>
    <w:multiLevelType w:val="multilevel"/>
    <w:tmpl w:val="0000000B"/>
    <w:lvl w:ilvl="0">
      <w:start w:val="1"/>
      <w:numFmt w:val="decimal"/>
      <w:lvlText w:val="%1."/>
      <w:lvlJc w:val="left"/>
      <w:pPr>
        <w:tabs>
          <w:tab w:val="num" w:pos="1353"/>
        </w:tabs>
        <w:ind w:left="135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A522519"/>
    <w:multiLevelType w:val="hybridMultilevel"/>
    <w:tmpl w:val="C18A5D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4" w15:restartNumberingAfterBreak="0">
    <w:nsid w:val="20A22665"/>
    <w:multiLevelType w:val="hybridMultilevel"/>
    <w:tmpl w:val="B4A6B73C"/>
    <w:lvl w:ilvl="0" w:tplc="1054D1BC">
      <w:start w:val="1"/>
      <w:numFmt w:val="decimal"/>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238650C"/>
    <w:multiLevelType w:val="hybridMultilevel"/>
    <w:tmpl w:val="9B3CB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7484C4B"/>
    <w:multiLevelType w:val="hybridMultilevel"/>
    <w:tmpl w:val="244826B6"/>
    <w:lvl w:ilvl="0" w:tplc="AB8E0430">
      <w:start w:val="1"/>
      <w:numFmt w:val="decimal"/>
      <w:lvlText w:val="%1."/>
      <w:lvlJc w:val="left"/>
      <w:pPr>
        <w:ind w:left="360" w:hanging="360"/>
      </w:pPr>
      <w:rPr>
        <w:rFonts w:hint="default"/>
        <w:color w:val="2E74B5" w:themeColor="accent1" w:themeShade="BF"/>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77D04AB3"/>
    <w:multiLevelType w:val="hybridMultilevel"/>
    <w:tmpl w:val="DDFA67D8"/>
    <w:lvl w:ilvl="0" w:tplc="81BA45AA">
      <w:start w:val="2"/>
      <w:numFmt w:val="lowerLetter"/>
      <w:lvlText w:val="%1)"/>
      <w:lvlJc w:val="left"/>
      <w:pPr>
        <w:ind w:left="1429" w:hanging="360"/>
      </w:pPr>
      <w:rPr>
        <w:rFonts w:hint="default"/>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8" w15:restartNumberingAfterBreak="0">
    <w:nsid w:val="7C4702A2"/>
    <w:multiLevelType w:val="hybridMultilevel"/>
    <w:tmpl w:val="0862DE38"/>
    <w:lvl w:ilvl="0" w:tplc="0EF8B4F0">
      <w:numFmt w:val="bullet"/>
      <w:lvlText w:val=""/>
      <w:lvlJc w:val="left"/>
      <w:pPr>
        <w:ind w:left="1353" w:hanging="360"/>
      </w:pPr>
      <w:rPr>
        <w:rFonts w:ascii="Symbol" w:eastAsia="Times New Roman" w:hAnsi="Symbol" w:cs="Times New Roman"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num w:numId="1" w16cid:durableId="1686518169">
    <w:abstractNumId w:val="6"/>
  </w:num>
  <w:num w:numId="2" w16cid:durableId="818888701">
    <w:abstractNumId w:val="7"/>
  </w:num>
  <w:num w:numId="3" w16cid:durableId="1294486850">
    <w:abstractNumId w:val="3"/>
  </w:num>
  <w:num w:numId="4" w16cid:durableId="644361603">
    <w:abstractNumId w:val="4"/>
  </w:num>
  <w:num w:numId="5" w16cid:durableId="568348069">
    <w:abstractNumId w:val="0"/>
  </w:num>
  <w:num w:numId="6" w16cid:durableId="526648568">
    <w:abstractNumId w:val="2"/>
  </w:num>
  <w:num w:numId="7" w16cid:durableId="396363223">
    <w:abstractNumId w:val="5"/>
  </w:num>
  <w:num w:numId="8" w16cid:durableId="1631084898">
    <w:abstractNumId w:val="8"/>
  </w:num>
  <w:num w:numId="9" w16cid:durableId="111143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B91"/>
    <w:rsid w:val="00021A2B"/>
    <w:rsid w:val="001654A3"/>
    <w:rsid w:val="00344AA9"/>
    <w:rsid w:val="00376D15"/>
    <w:rsid w:val="00552DB4"/>
    <w:rsid w:val="005E30F5"/>
    <w:rsid w:val="006A5B91"/>
    <w:rsid w:val="006F41C7"/>
    <w:rsid w:val="00784F6D"/>
    <w:rsid w:val="008C135E"/>
    <w:rsid w:val="009E2CFB"/>
    <w:rsid w:val="00BA5E82"/>
    <w:rsid w:val="00D11560"/>
    <w:rsid w:val="00D631E1"/>
    <w:rsid w:val="00E56518"/>
    <w:rsid w:val="00FD37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BAE8D"/>
  <w15:chartTrackingRefBased/>
  <w15:docId w15:val="{2DF6FDED-BA83-4CF1-A1FF-A9CC9273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6A5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qFormat/>
    <w:rsid w:val="00376D15"/>
    <w:pPr>
      <w:ind w:left="720"/>
      <w:contextualSpacing/>
    </w:pPr>
  </w:style>
  <w:style w:type="character" w:styleId="Collegamentoipertestuale">
    <w:name w:val="Hyperlink"/>
    <w:uiPriority w:val="99"/>
    <w:rsid w:val="00E56518"/>
    <w:rPr>
      <w:color w:val="0000FF"/>
      <w:u w:val="single"/>
    </w:rPr>
  </w:style>
  <w:style w:type="character" w:styleId="Enfasigrassetto">
    <w:name w:val="Strong"/>
    <w:uiPriority w:val="22"/>
    <w:qFormat/>
    <w:rsid w:val="00E56518"/>
    <w:rPr>
      <w:b/>
      <w:bCs/>
    </w:rPr>
  </w:style>
  <w:style w:type="character" w:customStyle="1" w:styleId="previewtxt">
    <w:name w:val="previewtxt"/>
    <w:rsid w:val="00E56518"/>
  </w:style>
  <w:style w:type="character" w:customStyle="1" w:styleId="guestview">
    <w:name w:val="guestview"/>
    <w:rsid w:val="00E56518"/>
  </w:style>
  <w:style w:type="character" w:customStyle="1" w:styleId="list-group-item">
    <w:name w:val="list-group-item"/>
    <w:rsid w:val="00E56518"/>
  </w:style>
  <w:style w:type="character" w:styleId="Menzionenonrisolta">
    <w:name w:val="Unresolved Mention"/>
    <w:basedOn w:val="Carpredefinitoparagrafo"/>
    <w:uiPriority w:val="99"/>
    <w:semiHidden/>
    <w:unhideWhenUsed/>
    <w:rsid w:val="00E56518"/>
    <w:rPr>
      <w:color w:val="605E5C"/>
      <w:shd w:val="clear" w:color="auto" w:fill="E1DFDD"/>
    </w:rPr>
  </w:style>
  <w:style w:type="paragraph" w:styleId="Pidipagina">
    <w:name w:val="footer"/>
    <w:basedOn w:val="Normale"/>
    <w:link w:val="PidipaginaCarattere"/>
    <w:uiPriority w:val="99"/>
    <w:unhideWhenUsed/>
    <w:rsid w:val="00021A2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21A2B"/>
  </w:style>
  <w:style w:type="character" w:styleId="Numeropagina">
    <w:name w:val="page number"/>
    <w:basedOn w:val="Carpredefinitoparagrafo"/>
    <w:uiPriority w:val="99"/>
    <w:semiHidden/>
    <w:unhideWhenUsed/>
    <w:rsid w:val="00021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tecgremed.com" TargetMode="External"/><Relationship Id="rId4" Type="http://schemas.openxmlformats.org/officeDocument/2006/relationships/webSettings" Target="webSettings.xml"/><Relationship Id="rId9" Type="http://schemas.openxmlformats.org/officeDocument/2006/relationships/hyperlink" Target="https://econjournals.com/index.php/ijeep/article/view/5387"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1107</Words>
  <Characters>6312</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alessandro.figus FIGUS</dc:creator>
  <cp:keywords/>
  <dc:description/>
  <cp:lastModifiedBy>Carolina Figus</cp:lastModifiedBy>
  <cp:revision>3</cp:revision>
  <dcterms:created xsi:type="dcterms:W3CDTF">2025-06-18T06:32:00Z</dcterms:created>
  <dcterms:modified xsi:type="dcterms:W3CDTF">2025-06-18T06:51:00Z</dcterms:modified>
</cp:coreProperties>
</file>